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1B" w:rsidRPr="009E0E08" w:rsidRDefault="009C7C1B" w:rsidP="009E0E08">
      <w:pPr>
        <w:jc w:val="center"/>
        <w:rPr>
          <w:lang w:val="fr-FR"/>
        </w:rPr>
      </w:pPr>
      <w:bookmarkStart w:id="0" w:name="_GoBack"/>
      <w:bookmarkEnd w:id="0"/>
    </w:p>
    <w:p w:rsidR="00B23C8F" w:rsidRPr="009E0E08" w:rsidRDefault="00B23C8F" w:rsidP="009E0E08">
      <w:pPr>
        <w:jc w:val="center"/>
        <w:rPr>
          <w:lang w:val="fr-FR"/>
        </w:rPr>
      </w:pPr>
    </w:p>
    <w:p w:rsidR="0055090B" w:rsidRPr="009E0E08" w:rsidRDefault="0055090B" w:rsidP="009E0E08">
      <w:pPr>
        <w:jc w:val="center"/>
      </w:pPr>
    </w:p>
    <w:p w:rsidR="0055090B" w:rsidRPr="009E0E08" w:rsidRDefault="009C7C1B" w:rsidP="009E0E08">
      <w:pPr>
        <w:tabs>
          <w:tab w:val="left" w:pos="5529"/>
        </w:tabs>
        <w:jc w:val="center"/>
        <w:rPr>
          <w:lang w:val="fr-FR"/>
        </w:rPr>
      </w:pPr>
      <w:r w:rsidRPr="009E0E08">
        <w:rPr>
          <w:lang w:val="fr-FR"/>
        </w:rPr>
        <w:t>PREMIÈRE SECTION</w:t>
      </w:r>
    </w:p>
    <w:p w:rsidR="0055090B" w:rsidRPr="009E0E08" w:rsidRDefault="0055090B" w:rsidP="009E0E08">
      <w:pPr>
        <w:jc w:val="center"/>
        <w:rPr>
          <w:lang w:val="fr-FR"/>
        </w:rPr>
      </w:pPr>
    </w:p>
    <w:p w:rsidR="0055090B" w:rsidRPr="009E0E08" w:rsidRDefault="0055090B" w:rsidP="009E0E08">
      <w:pPr>
        <w:jc w:val="center"/>
        <w:rPr>
          <w:lang w:val="fr-FR"/>
        </w:rPr>
      </w:pPr>
    </w:p>
    <w:p w:rsidR="00B23C8F" w:rsidRPr="009E0E08" w:rsidRDefault="00B23C8F" w:rsidP="009E0E08">
      <w:pPr>
        <w:jc w:val="center"/>
        <w:rPr>
          <w:lang w:val="fr-FR"/>
        </w:rPr>
      </w:pPr>
    </w:p>
    <w:p w:rsidR="00B23C8F" w:rsidRPr="009E0E08" w:rsidRDefault="00B23C8F" w:rsidP="009E0E08">
      <w:pPr>
        <w:jc w:val="center"/>
        <w:rPr>
          <w:lang w:val="fr-FR"/>
        </w:rPr>
      </w:pPr>
    </w:p>
    <w:p w:rsidR="0055090B" w:rsidRPr="009E0E08" w:rsidRDefault="0055090B" w:rsidP="009E0E08">
      <w:pPr>
        <w:jc w:val="center"/>
        <w:rPr>
          <w:lang w:val="fr-FR"/>
        </w:rPr>
      </w:pPr>
    </w:p>
    <w:p w:rsidR="0055090B" w:rsidRPr="009E0E08" w:rsidRDefault="0055090B" w:rsidP="009E0E08">
      <w:pPr>
        <w:jc w:val="center"/>
        <w:rPr>
          <w:lang w:val="fr-FR"/>
        </w:rPr>
      </w:pPr>
    </w:p>
    <w:p w:rsidR="0055090B" w:rsidRPr="009E0E08" w:rsidRDefault="0055090B" w:rsidP="009E0E08">
      <w:pPr>
        <w:jc w:val="center"/>
        <w:outlineLvl w:val="0"/>
        <w:rPr>
          <w:b/>
          <w:lang w:val="fr-FR"/>
        </w:rPr>
      </w:pPr>
      <w:r w:rsidRPr="009E0E08">
        <w:rPr>
          <w:b/>
          <w:lang w:val="fr-FR"/>
        </w:rPr>
        <w:t xml:space="preserve">AFFAIRE </w:t>
      </w:r>
      <w:r w:rsidR="009C7C1B" w:rsidRPr="009E0E08">
        <w:rPr>
          <w:b/>
          <w:lang w:val="fr-FR"/>
        </w:rPr>
        <w:t xml:space="preserve">MAGOSSO ET BRINDANI </w:t>
      </w:r>
      <w:r w:rsidR="007A49AD" w:rsidRPr="009E0E08">
        <w:rPr>
          <w:b/>
          <w:lang w:val="fr-FR"/>
        </w:rPr>
        <w:t>c</w:t>
      </w:r>
      <w:r w:rsidR="009C7C1B" w:rsidRPr="009E0E08">
        <w:rPr>
          <w:b/>
          <w:lang w:val="fr-FR"/>
        </w:rPr>
        <w:t>. ITALIE</w:t>
      </w:r>
    </w:p>
    <w:p w:rsidR="0055090B" w:rsidRPr="009E0E08" w:rsidRDefault="0055090B" w:rsidP="009E0E08">
      <w:pPr>
        <w:jc w:val="center"/>
        <w:rPr>
          <w:lang w:val="fr-FR"/>
        </w:rPr>
      </w:pPr>
    </w:p>
    <w:p w:rsidR="0055090B" w:rsidRPr="009E0E08" w:rsidRDefault="0055090B" w:rsidP="009E0E08">
      <w:pPr>
        <w:jc w:val="center"/>
        <w:rPr>
          <w:i/>
          <w:lang w:val="fr-FR"/>
        </w:rPr>
      </w:pPr>
      <w:r w:rsidRPr="009E0E08">
        <w:rPr>
          <w:i/>
          <w:lang w:val="fr-FR"/>
        </w:rPr>
        <w:t>(</w:t>
      </w:r>
      <w:r w:rsidR="009C7C1B" w:rsidRPr="009E0E08">
        <w:rPr>
          <w:i/>
          <w:lang w:val="fr-FR"/>
        </w:rPr>
        <w:t>Requête n</w:t>
      </w:r>
      <w:r w:rsidR="009C7C1B" w:rsidRPr="009E0E08">
        <w:rPr>
          <w:i/>
          <w:vertAlign w:val="superscript"/>
          <w:lang w:val="fr-FR"/>
        </w:rPr>
        <w:t>o</w:t>
      </w:r>
      <w:r w:rsidRPr="009E0E08">
        <w:rPr>
          <w:i/>
          <w:lang w:val="fr-FR"/>
        </w:rPr>
        <w:t xml:space="preserve"> </w:t>
      </w:r>
      <w:r w:rsidR="009C7C1B" w:rsidRPr="009E0E08">
        <w:rPr>
          <w:i/>
          <w:lang w:val="fr-FR"/>
        </w:rPr>
        <w:t>59347/11</w:t>
      </w:r>
      <w:r w:rsidRPr="009E0E08">
        <w:rPr>
          <w:i/>
          <w:lang w:val="fr-FR"/>
        </w:rPr>
        <w:t>)</w:t>
      </w:r>
    </w:p>
    <w:p w:rsidR="0055090B" w:rsidRPr="009E0E08" w:rsidRDefault="0055090B" w:rsidP="009E0E08">
      <w:pPr>
        <w:jc w:val="center"/>
        <w:rPr>
          <w:lang w:val="fr-FR"/>
        </w:rPr>
      </w:pPr>
    </w:p>
    <w:p w:rsidR="0055090B" w:rsidRPr="009E0E08" w:rsidRDefault="0055090B" w:rsidP="009E0E08">
      <w:pPr>
        <w:jc w:val="center"/>
        <w:rPr>
          <w:lang w:val="fr-FR"/>
        </w:rPr>
      </w:pPr>
    </w:p>
    <w:p w:rsidR="0055090B" w:rsidRPr="009E0E08" w:rsidRDefault="0055090B" w:rsidP="009E0E08">
      <w:pPr>
        <w:jc w:val="center"/>
        <w:rPr>
          <w:lang w:val="fr-FR"/>
        </w:rPr>
      </w:pPr>
    </w:p>
    <w:p w:rsidR="0055090B" w:rsidRPr="009E0E08" w:rsidRDefault="0055090B" w:rsidP="009E0E08">
      <w:pPr>
        <w:jc w:val="center"/>
        <w:rPr>
          <w:lang w:val="fr-FR"/>
        </w:rPr>
      </w:pPr>
    </w:p>
    <w:p w:rsidR="0055090B" w:rsidRPr="009E0E08" w:rsidRDefault="0055090B" w:rsidP="009E0E08">
      <w:pPr>
        <w:jc w:val="center"/>
        <w:rPr>
          <w:lang w:val="fr-FR"/>
        </w:rPr>
      </w:pPr>
    </w:p>
    <w:p w:rsidR="0055090B" w:rsidRPr="009E0E08" w:rsidRDefault="0055090B" w:rsidP="009E0E08">
      <w:pPr>
        <w:jc w:val="center"/>
        <w:rPr>
          <w:lang w:val="fr-FR"/>
        </w:rPr>
      </w:pPr>
    </w:p>
    <w:p w:rsidR="0055090B" w:rsidRPr="009E0E08" w:rsidRDefault="0055090B" w:rsidP="009E0E08">
      <w:pPr>
        <w:jc w:val="center"/>
        <w:rPr>
          <w:lang w:val="fr-FR"/>
        </w:rPr>
      </w:pPr>
    </w:p>
    <w:p w:rsidR="0055090B" w:rsidRPr="009E0E08" w:rsidRDefault="0055090B" w:rsidP="009E0E08">
      <w:pPr>
        <w:jc w:val="center"/>
        <w:rPr>
          <w:lang w:val="fr-FR"/>
        </w:rPr>
      </w:pPr>
    </w:p>
    <w:p w:rsidR="0055090B" w:rsidRPr="009E0E08" w:rsidRDefault="0055090B" w:rsidP="009E0E08">
      <w:pPr>
        <w:jc w:val="center"/>
        <w:rPr>
          <w:lang w:val="fr-FR"/>
        </w:rPr>
      </w:pPr>
    </w:p>
    <w:p w:rsidR="0055090B" w:rsidRPr="009E0E08" w:rsidRDefault="0055090B" w:rsidP="009E0E08">
      <w:pPr>
        <w:jc w:val="center"/>
        <w:outlineLvl w:val="0"/>
        <w:rPr>
          <w:lang w:val="fr-FR"/>
        </w:rPr>
      </w:pPr>
      <w:r w:rsidRPr="009E0E08">
        <w:rPr>
          <w:lang w:val="fr-FR"/>
        </w:rPr>
        <w:t>ARRÊT</w:t>
      </w:r>
    </w:p>
    <w:p w:rsidR="0055090B" w:rsidRPr="009E0E08" w:rsidRDefault="0055090B" w:rsidP="009E0E08">
      <w:pPr>
        <w:jc w:val="center"/>
        <w:rPr>
          <w:i/>
          <w:lang w:val="fr-FR"/>
        </w:rPr>
      </w:pPr>
    </w:p>
    <w:p w:rsidR="00BF20CF" w:rsidRPr="009E0E08" w:rsidRDefault="00BF20CF" w:rsidP="009E0E08">
      <w:pPr>
        <w:pStyle w:val="ECHRPara"/>
        <w:pBdr>
          <w:top w:val="single" w:sz="4" w:space="1" w:color="auto"/>
          <w:left w:val="single" w:sz="4" w:space="4" w:color="auto"/>
          <w:bottom w:val="single" w:sz="4" w:space="1" w:color="auto"/>
          <w:right w:val="single" w:sz="4" w:space="4" w:color="auto"/>
        </w:pBdr>
        <w:rPr>
          <w:rFonts w:ascii="Calibri" w:eastAsia="Calibri" w:hAnsi="Calibri" w:cs="Times New Roman"/>
          <w:lang w:val="fr-FR"/>
        </w:rPr>
      </w:pPr>
      <w:r w:rsidRPr="009E0E08">
        <w:rPr>
          <w:lang w:val="fr-FR"/>
        </w:rPr>
        <w:t>Art 10 • Liberté d</w:t>
      </w:r>
      <w:r w:rsidR="009E0E08" w:rsidRPr="009E0E08">
        <w:rPr>
          <w:lang w:val="fr-FR"/>
        </w:rPr>
        <w:t>’</w:t>
      </w:r>
      <w:r w:rsidRPr="009E0E08">
        <w:rPr>
          <w:lang w:val="fr-FR"/>
        </w:rPr>
        <w:t>expression • Condamnation de journalistes pour la publication d</w:t>
      </w:r>
      <w:r w:rsidR="009E0E08" w:rsidRPr="009E0E08">
        <w:rPr>
          <w:lang w:val="fr-FR"/>
        </w:rPr>
        <w:t>’</w:t>
      </w:r>
      <w:r w:rsidRPr="009E0E08">
        <w:rPr>
          <w:lang w:val="fr-FR"/>
        </w:rPr>
        <w:t>un article diffamatoire suggérant la passivité de gendarmes dans le cadre de l</w:t>
      </w:r>
      <w:r w:rsidR="009E0E08" w:rsidRPr="009E0E08">
        <w:rPr>
          <w:lang w:val="fr-FR"/>
        </w:rPr>
        <w:t>’</w:t>
      </w:r>
      <w:r w:rsidRPr="009E0E08">
        <w:rPr>
          <w:lang w:val="fr-FR"/>
        </w:rPr>
        <w:t>assassinat d</w:t>
      </w:r>
      <w:r w:rsidR="009E0E08" w:rsidRPr="009E0E08">
        <w:rPr>
          <w:lang w:val="fr-FR"/>
        </w:rPr>
        <w:t>’</w:t>
      </w:r>
      <w:r w:rsidRPr="009E0E08">
        <w:rPr>
          <w:lang w:val="fr-FR"/>
        </w:rPr>
        <w:t>un journaliste • Propos litigieux émanant d</w:t>
      </w:r>
      <w:r w:rsidR="009E0E08" w:rsidRPr="009E0E08">
        <w:rPr>
          <w:lang w:val="fr-FR"/>
        </w:rPr>
        <w:t>’</w:t>
      </w:r>
      <w:r w:rsidRPr="009E0E08">
        <w:rPr>
          <w:lang w:val="fr-FR"/>
        </w:rPr>
        <w:t>une tierce personne et vérifiés sérieusement par les journalistes • Absence de motifs pertinents et suffisants des juridictions internes • Sévérité des sanctions</w:t>
      </w:r>
    </w:p>
    <w:p w:rsidR="0055090B" w:rsidRPr="009E0E08" w:rsidRDefault="0055090B" w:rsidP="009E0E08">
      <w:pPr>
        <w:jc w:val="center"/>
        <w:rPr>
          <w:lang w:val="fr-FR"/>
        </w:rPr>
      </w:pPr>
    </w:p>
    <w:p w:rsidR="0055090B" w:rsidRPr="009E0E08" w:rsidRDefault="0055090B" w:rsidP="009E0E08">
      <w:pPr>
        <w:jc w:val="center"/>
        <w:outlineLvl w:val="0"/>
        <w:rPr>
          <w:lang w:val="fr-FR"/>
        </w:rPr>
      </w:pPr>
      <w:r w:rsidRPr="009E0E08">
        <w:rPr>
          <w:lang w:val="fr-FR"/>
        </w:rPr>
        <w:t>STRASBOURG</w:t>
      </w:r>
    </w:p>
    <w:p w:rsidR="0055090B" w:rsidRPr="009E0E08" w:rsidRDefault="0055090B" w:rsidP="009E0E08">
      <w:pPr>
        <w:jc w:val="center"/>
        <w:rPr>
          <w:lang w:val="fr-FR"/>
        </w:rPr>
      </w:pPr>
    </w:p>
    <w:p w:rsidR="0055090B" w:rsidRPr="009E0E08" w:rsidRDefault="009C7C1B" w:rsidP="009E0E08">
      <w:pPr>
        <w:jc w:val="center"/>
        <w:rPr>
          <w:lang w:val="fr-FR"/>
        </w:rPr>
      </w:pPr>
      <w:r w:rsidRPr="009E0E08">
        <w:rPr>
          <w:szCs w:val="24"/>
          <w:lang w:val="fr-FR"/>
        </w:rPr>
        <w:t xml:space="preserve">16 </w:t>
      </w:r>
      <w:r w:rsidR="007A49AD" w:rsidRPr="009E0E08">
        <w:rPr>
          <w:szCs w:val="24"/>
          <w:lang w:val="fr-FR"/>
        </w:rPr>
        <w:t>janvier</w:t>
      </w:r>
      <w:r w:rsidRPr="009E0E08">
        <w:rPr>
          <w:szCs w:val="24"/>
          <w:lang w:val="fr-FR"/>
        </w:rPr>
        <w:t xml:space="preserve"> 2020</w:t>
      </w:r>
    </w:p>
    <w:p w:rsidR="0055090B" w:rsidRPr="009E0E08" w:rsidRDefault="0055090B" w:rsidP="009E0E08">
      <w:pPr>
        <w:jc w:val="center"/>
        <w:rPr>
          <w:lang w:val="fr-FR"/>
        </w:rPr>
      </w:pPr>
    </w:p>
    <w:p w:rsidR="007A49AD" w:rsidRPr="009E0E08" w:rsidRDefault="007A49AD" w:rsidP="009E0E08">
      <w:pPr>
        <w:rPr>
          <w:i/>
          <w:sz w:val="22"/>
          <w:lang w:val="fr-FR"/>
        </w:rPr>
      </w:pPr>
    </w:p>
    <w:p w:rsidR="009E4339" w:rsidRPr="009E0E08" w:rsidRDefault="0055090B" w:rsidP="009E0E08">
      <w:pPr>
        <w:rPr>
          <w:i/>
          <w:sz w:val="22"/>
          <w:lang w:val="fr-FR"/>
        </w:rPr>
      </w:pPr>
      <w:r w:rsidRPr="009E0E08">
        <w:rPr>
          <w:i/>
          <w:sz w:val="22"/>
          <w:lang w:val="fr-FR"/>
        </w:rPr>
        <w:t xml:space="preserve">Cet arrêt </w:t>
      </w:r>
      <w:r w:rsidR="009C7C1B" w:rsidRPr="009E0E08">
        <w:rPr>
          <w:i/>
          <w:sz w:val="22"/>
          <w:lang w:val="fr-FR"/>
        </w:rPr>
        <w:t>deviendra définitif dans les conditions définies à l</w:t>
      </w:r>
      <w:r w:rsidR="009E0E08" w:rsidRPr="009E0E08">
        <w:rPr>
          <w:i/>
          <w:sz w:val="22"/>
          <w:lang w:val="fr-FR"/>
        </w:rPr>
        <w:t>’</w:t>
      </w:r>
      <w:r w:rsidR="009C7C1B" w:rsidRPr="009E0E08">
        <w:rPr>
          <w:i/>
          <w:sz w:val="22"/>
          <w:lang w:val="fr-FR"/>
        </w:rPr>
        <w:t>article 44 § 2 de la Convention</w:t>
      </w:r>
      <w:r w:rsidRPr="009E0E08">
        <w:rPr>
          <w:i/>
          <w:sz w:val="22"/>
          <w:lang w:val="fr-FR"/>
        </w:rPr>
        <w:t>. Il peut subir des retouches de forme.</w:t>
      </w:r>
    </w:p>
    <w:p w:rsidR="009E4339" w:rsidRPr="009E0E08" w:rsidRDefault="009E4339" w:rsidP="009E0E08">
      <w:pPr>
        <w:rPr>
          <w:lang w:val="fr-FR"/>
        </w:rPr>
        <w:sectPr w:rsidR="009E4339" w:rsidRPr="009E0E08">
          <w:headerReference w:type="default" r:id="rId11"/>
          <w:footerReference w:type="default" r:id="rId12"/>
          <w:headerReference w:type="first" r:id="rId13"/>
          <w:footnotePr>
            <w:numRestart w:val="eachSect"/>
          </w:footnotePr>
          <w:pgSz w:w="11906" w:h="16838" w:code="9"/>
          <w:pgMar w:top="2274" w:right="2274" w:bottom="2274" w:left="2274" w:header="1701" w:footer="720" w:gutter="0"/>
          <w:pgNumType w:start="1"/>
          <w:cols w:space="720"/>
          <w:noEndnote/>
        </w:sectPr>
      </w:pPr>
    </w:p>
    <w:p w:rsidR="0055090B" w:rsidRPr="009E0E08" w:rsidRDefault="0055090B" w:rsidP="009E0E08">
      <w:pPr>
        <w:pStyle w:val="JuCase"/>
        <w:rPr>
          <w:lang w:val="fr-FR"/>
        </w:rPr>
      </w:pPr>
      <w:r w:rsidRPr="009E0E08">
        <w:rPr>
          <w:lang w:val="fr-FR"/>
        </w:rPr>
        <w:lastRenderedPageBreak/>
        <w:t>En l</w:t>
      </w:r>
      <w:r w:rsidR="009E0E08" w:rsidRPr="009E0E08">
        <w:rPr>
          <w:lang w:val="fr-FR"/>
        </w:rPr>
        <w:t>’</w:t>
      </w:r>
      <w:r w:rsidRPr="009E0E08">
        <w:rPr>
          <w:lang w:val="fr-FR"/>
        </w:rPr>
        <w:t xml:space="preserve">affaire </w:t>
      </w:r>
      <w:r w:rsidR="009C7C1B" w:rsidRPr="009E0E08">
        <w:rPr>
          <w:lang w:val="fr-FR"/>
        </w:rPr>
        <w:t>Magosso et Brindani c. Italie</w:t>
      </w:r>
      <w:r w:rsidRPr="009E0E08">
        <w:rPr>
          <w:lang w:val="fr-FR"/>
        </w:rPr>
        <w:t>,</w:t>
      </w:r>
    </w:p>
    <w:p w:rsidR="0055090B" w:rsidRPr="009E0E08" w:rsidRDefault="0055090B" w:rsidP="009E0E08">
      <w:pPr>
        <w:pStyle w:val="ECHRPara"/>
        <w:rPr>
          <w:lang w:val="fr-FR"/>
        </w:rPr>
      </w:pPr>
      <w:r w:rsidRPr="009E0E08">
        <w:rPr>
          <w:lang w:val="fr-FR"/>
        </w:rPr>
        <w:t>La Cour européenne des droits de l</w:t>
      </w:r>
      <w:r w:rsidR="009E0E08" w:rsidRPr="009E0E08">
        <w:rPr>
          <w:lang w:val="fr-FR"/>
        </w:rPr>
        <w:t>’</w:t>
      </w:r>
      <w:r w:rsidRPr="009E0E08">
        <w:rPr>
          <w:lang w:val="fr-FR"/>
        </w:rPr>
        <w:t>homme (</w:t>
      </w:r>
      <w:r w:rsidR="009C7C1B" w:rsidRPr="009E0E08">
        <w:rPr>
          <w:lang w:val="fr-FR"/>
        </w:rPr>
        <w:t>première section</w:t>
      </w:r>
      <w:r w:rsidRPr="009E0E08">
        <w:rPr>
          <w:lang w:val="fr-FR"/>
        </w:rPr>
        <w:t xml:space="preserve">), siégeant en </w:t>
      </w:r>
      <w:r w:rsidR="009C7C1B" w:rsidRPr="009E0E08">
        <w:rPr>
          <w:color w:val="000000"/>
          <w:lang w:val="fr-FR"/>
        </w:rPr>
        <w:t>une</w:t>
      </w:r>
      <w:r w:rsidR="009C7C1B" w:rsidRPr="009E0E08">
        <w:rPr>
          <w:lang w:val="fr-FR"/>
        </w:rPr>
        <w:t xml:space="preserve"> Chambre composée</w:t>
      </w:r>
      <w:r w:rsidRPr="009E0E08">
        <w:rPr>
          <w:lang w:val="fr-FR"/>
        </w:rPr>
        <w:t xml:space="preserve"> de :</w:t>
      </w:r>
    </w:p>
    <w:p w:rsidR="0055090B" w:rsidRPr="009E0E08" w:rsidRDefault="00786DDB" w:rsidP="009E0E08">
      <w:pPr>
        <w:pStyle w:val="ECHRDecisionBody"/>
        <w:rPr>
          <w:lang w:val="fr-FR"/>
        </w:rPr>
      </w:pPr>
      <w:r w:rsidRPr="009E0E08">
        <w:rPr>
          <w:lang w:val="fr-FR"/>
        </w:rPr>
        <w:tab/>
        <w:t>Krzysztof Wojtyczek,</w:t>
      </w:r>
      <w:r w:rsidRPr="009E0E08">
        <w:rPr>
          <w:i/>
          <w:lang w:val="fr-FR"/>
        </w:rPr>
        <w:t xml:space="preserve"> président,</w:t>
      </w:r>
      <w:r w:rsidRPr="009E0E08">
        <w:rPr>
          <w:i/>
          <w:lang w:val="fr-FR"/>
        </w:rPr>
        <w:br/>
      </w:r>
      <w:r w:rsidRPr="009E0E08">
        <w:rPr>
          <w:lang w:val="fr-FR"/>
        </w:rPr>
        <w:tab/>
        <w:t>Aleš Pejchal,</w:t>
      </w:r>
      <w:r w:rsidRPr="009E0E08">
        <w:rPr>
          <w:i/>
          <w:lang w:val="fr-FR"/>
        </w:rPr>
        <w:br/>
      </w:r>
      <w:r w:rsidRPr="009E0E08">
        <w:rPr>
          <w:lang w:val="fr-FR"/>
        </w:rPr>
        <w:tab/>
        <w:t>Armen Harutyunyan,</w:t>
      </w:r>
      <w:r w:rsidRPr="009E0E08">
        <w:rPr>
          <w:i/>
          <w:lang w:val="fr-FR"/>
        </w:rPr>
        <w:br/>
      </w:r>
      <w:r w:rsidRPr="009E0E08">
        <w:rPr>
          <w:lang w:val="fr-FR"/>
        </w:rPr>
        <w:tab/>
        <w:t>Pere Pastor Vilanova,</w:t>
      </w:r>
      <w:r w:rsidRPr="009E0E08">
        <w:rPr>
          <w:i/>
          <w:lang w:val="fr-FR"/>
        </w:rPr>
        <w:br/>
      </w:r>
      <w:r w:rsidRPr="009E0E08">
        <w:rPr>
          <w:lang w:val="fr-FR"/>
        </w:rPr>
        <w:tab/>
        <w:t>Tim Eicke,</w:t>
      </w:r>
      <w:r w:rsidRPr="009E0E08">
        <w:rPr>
          <w:i/>
          <w:lang w:val="fr-FR"/>
        </w:rPr>
        <w:br/>
      </w:r>
      <w:r w:rsidRPr="009E0E08">
        <w:rPr>
          <w:lang w:val="fr-FR"/>
        </w:rPr>
        <w:tab/>
        <w:t>Jovan Ilievski,</w:t>
      </w:r>
      <w:r w:rsidRPr="009E0E08">
        <w:rPr>
          <w:i/>
          <w:lang w:val="fr-FR"/>
        </w:rPr>
        <w:br/>
      </w:r>
      <w:r w:rsidRPr="009E0E08">
        <w:rPr>
          <w:lang w:val="fr-FR"/>
        </w:rPr>
        <w:tab/>
        <w:t>Raffaele Sabato,</w:t>
      </w:r>
      <w:r w:rsidRPr="009E0E08">
        <w:rPr>
          <w:i/>
          <w:lang w:val="fr-FR"/>
        </w:rPr>
        <w:t xml:space="preserve"> juges,</w:t>
      </w:r>
      <w:r w:rsidRPr="009E0E08">
        <w:rPr>
          <w:i/>
          <w:lang w:val="fr-FR"/>
        </w:rPr>
        <w:br/>
      </w:r>
      <w:r w:rsidR="0055090B" w:rsidRPr="009E0E08">
        <w:rPr>
          <w:lang w:val="fr-FR"/>
        </w:rPr>
        <w:t xml:space="preserve">et de </w:t>
      </w:r>
      <w:r w:rsidR="009C7C1B" w:rsidRPr="009E0E08">
        <w:rPr>
          <w:lang w:val="fr-FR"/>
        </w:rPr>
        <w:t>Abel Campos</w:t>
      </w:r>
      <w:r w:rsidR="0055090B" w:rsidRPr="009E0E08">
        <w:rPr>
          <w:lang w:val="fr-FR"/>
        </w:rPr>
        <w:t xml:space="preserve">, </w:t>
      </w:r>
      <w:r w:rsidR="009C7C1B" w:rsidRPr="009E0E08">
        <w:rPr>
          <w:i/>
          <w:lang w:val="fr-FR"/>
        </w:rPr>
        <w:t>greffier</w:t>
      </w:r>
      <w:r w:rsidR="009C7C1B" w:rsidRPr="009E0E08">
        <w:rPr>
          <w:iCs/>
          <w:lang w:val="fr-FR"/>
        </w:rPr>
        <w:t xml:space="preserve"> </w:t>
      </w:r>
      <w:r w:rsidR="009C7C1B" w:rsidRPr="009E0E08">
        <w:rPr>
          <w:i/>
          <w:iCs/>
          <w:lang w:val="fr-FR"/>
        </w:rPr>
        <w:t>d</w:t>
      </w:r>
      <w:r w:rsidR="009C7C1B" w:rsidRPr="009E0E08">
        <w:rPr>
          <w:i/>
          <w:lang w:val="fr-FR"/>
        </w:rPr>
        <w:t>e section</w:t>
      </w:r>
      <w:r w:rsidR="0055090B" w:rsidRPr="009E0E08">
        <w:rPr>
          <w:lang w:val="fr-FR"/>
        </w:rPr>
        <w:t>,</w:t>
      </w:r>
    </w:p>
    <w:p w:rsidR="0055090B" w:rsidRPr="009E0E08" w:rsidRDefault="0055090B" w:rsidP="009E0E08">
      <w:pPr>
        <w:pStyle w:val="ECHRPara"/>
        <w:rPr>
          <w:lang w:val="fr-FR"/>
        </w:rPr>
      </w:pPr>
      <w:bookmarkStart w:id="1" w:name="ITMARKHavingStart"/>
      <w:bookmarkEnd w:id="1"/>
      <w:r w:rsidRPr="009E0E08">
        <w:rPr>
          <w:lang w:val="fr-FR"/>
        </w:rPr>
        <w:t xml:space="preserve">Après en avoir délibéré en chambre du conseil le </w:t>
      </w:r>
      <w:r w:rsidR="009C7C1B" w:rsidRPr="009E0E08">
        <w:rPr>
          <w:szCs w:val="24"/>
          <w:lang w:val="fr-FR"/>
        </w:rPr>
        <w:t>10 décembre 2019</w:t>
      </w:r>
      <w:r w:rsidRPr="009E0E08">
        <w:rPr>
          <w:lang w:val="fr-FR"/>
        </w:rPr>
        <w:t>,</w:t>
      </w:r>
    </w:p>
    <w:p w:rsidR="0055090B" w:rsidRPr="009E0E08" w:rsidRDefault="0055090B" w:rsidP="009E0E08">
      <w:pPr>
        <w:pStyle w:val="ECHRPara"/>
        <w:rPr>
          <w:lang w:val="fr-FR"/>
        </w:rPr>
      </w:pPr>
      <w:r w:rsidRPr="009E0E08">
        <w:rPr>
          <w:lang w:val="fr-FR"/>
        </w:rPr>
        <w:t>Rend l</w:t>
      </w:r>
      <w:r w:rsidR="009E0E08" w:rsidRPr="009E0E08">
        <w:rPr>
          <w:lang w:val="fr-FR"/>
        </w:rPr>
        <w:t>’</w:t>
      </w:r>
      <w:r w:rsidRPr="009E0E08">
        <w:rPr>
          <w:lang w:val="fr-FR"/>
        </w:rPr>
        <w:t>arrêt que voici, adopté à cette date :</w:t>
      </w:r>
    </w:p>
    <w:p w:rsidR="009C7C1B" w:rsidRPr="009E0E08" w:rsidRDefault="009C7C1B" w:rsidP="009E0E08">
      <w:pPr>
        <w:pStyle w:val="ECHRTitle1"/>
        <w:rPr>
          <w:lang w:val="fr-FR"/>
        </w:rPr>
      </w:pPr>
      <w:r w:rsidRPr="009E0E08">
        <w:rPr>
          <w:lang w:val="fr-FR"/>
        </w:rPr>
        <w:t>PROCÉDURE</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1</w:t>
      </w:r>
      <w:r w:rsidRPr="009E0E08">
        <w:rPr>
          <w:lang w:val="fr-FR"/>
        </w:rPr>
        <w:fldChar w:fldCharType="end"/>
      </w:r>
      <w:r w:rsidRPr="009E0E08">
        <w:rPr>
          <w:lang w:val="fr-FR"/>
        </w:rPr>
        <w:t>.  À l</w:t>
      </w:r>
      <w:r w:rsidR="009E0E08" w:rsidRPr="009E0E08">
        <w:rPr>
          <w:lang w:val="fr-FR"/>
        </w:rPr>
        <w:t>’</w:t>
      </w:r>
      <w:r w:rsidRPr="009E0E08">
        <w:rPr>
          <w:lang w:val="fr-FR"/>
        </w:rPr>
        <w:t>origine de l</w:t>
      </w:r>
      <w:r w:rsidR="009E0E08" w:rsidRPr="009E0E08">
        <w:rPr>
          <w:lang w:val="fr-FR"/>
        </w:rPr>
        <w:t>’</w:t>
      </w:r>
      <w:r w:rsidRPr="009E0E08">
        <w:rPr>
          <w:lang w:val="fr-FR"/>
        </w:rPr>
        <w:t>affaire se trouve une requête (n</w:t>
      </w:r>
      <w:r w:rsidRPr="009E0E08">
        <w:rPr>
          <w:vertAlign w:val="superscript"/>
          <w:lang w:val="fr-FR"/>
        </w:rPr>
        <w:t>o</w:t>
      </w:r>
      <w:r w:rsidRPr="009E0E08">
        <w:rPr>
          <w:lang w:val="fr-FR"/>
        </w:rPr>
        <w:t xml:space="preserve"> 59347/11) dirigée contre la République italienne et dont deux ressortissants de cet État (« les</w:t>
      </w:r>
      <w:r w:rsidR="00F8223C" w:rsidRPr="009E0E08">
        <w:rPr>
          <w:lang w:val="fr-FR"/>
        </w:rPr>
        <w:t xml:space="preserve"> </w:t>
      </w:r>
      <w:r w:rsidRPr="009E0E08">
        <w:rPr>
          <w:lang w:val="fr-FR"/>
        </w:rPr>
        <w:t>requérants »), M. Renzo Magosso (« le premier requérant ») et M. Umberto Brindani (« le deuxième requérant »), ont saisi la Cour le 16 septembre 2011 en vertu de l</w:t>
      </w:r>
      <w:r w:rsidR="009E0E08" w:rsidRPr="009E0E08">
        <w:rPr>
          <w:lang w:val="fr-FR"/>
        </w:rPr>
        <w:t>’</w:t>
      </w:r>
      <w:r w:rsidRPr="009E0E08">
        <w:rPr>
          <w:lang w:val="fr-FR"/>
        </w:rPr>
        <w:t>article 34 de la Convention de sauvegarde des droits de l</w:t>
      </w:r>
      <w:r w:rsidR="009E0E08" w:rsidRPr="009E0E08">
        <w:rPr>
          <w:lang w:val="fr-FR"/>
        </w:rPr>
        <w:t>’</w:t>
      </w:r>
      <w:r w:rsidRPr="009E0E08">
        <w:rPr>
          <w:lang w:val="fr-FR"/>
        </w:rPr>
        <w:t>homme et des libertés fondamentales (« la Convention »).</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2</w:t>
      </w:r>
      <w:r w:rsidRPr="009E0E08">
        <w:rPr>
          <w:lang w:val="fr-FR"/>
        </w:rPr>
        <w:fldChar w:fldCharType="end"/>
      </w:r>
      <w:r w:rsidRPr="009E0E08">
        <w:rPr>
          <w:lang w:val="fr-FR"/>
        </w:rPr>
        <w:t>.  Les requérants ont été représentés par M</w:t>
      </w:r>
      <w:r w:rsidRPr="009E0E08">
        <w:rPr>
          <w:vertAlign w:val="superscript"/>
          <w:lang w:val="fr-FR"/>
        </w:rPr>
        <w:t>e</w:t>
      </w:r>
      <w:r w:rsidR="00F8223C" w:rsidRPr="009E0E08">
        <w:rPr>
          <w:lang w:val="fr-FR"/>
        </w:rPr>
        <w:t xml:space="preserve"> </w:t>
      </w:r>
      <w:r w:rsidRPr="009E0E08">
        <w:rPr>
          <w:lang w:val="fr-FR"/>
        </w:rPr>
        <w:t>M.Z. Volpi, avocat à Milan. Le gouvernement italien (« le Gouvernement ») a été représenté par son ancien agent, M</w:t>
      </w:r>
      <w:r w:rsidRPr="009E0E08">
        <w:rPr>
          <w:vertAlign w:val="superscript"/>
          <w:lang w:val="fr-FR"/>
        </w:rPr>
        <w:t>me</w:t>
      </w:r>
      <w:r w:rsidRPr="009E0E08">
        <w:rPr>
          <w:lang w:val="fr-FR"/>
        </w:rPr>
        <w:t xml:space="preserve"> E. Spatafora, et son coagent, M</w:t>
      </w:r>
      <w:r w:rsidRPr="009E0E08">
        <w:rPr>
          <w:vertAlign w:val="superscript"/>
          <w:lang w:val="fr-FR"/>
        </w:rPr>
        <w:t>me</w:t>
      </w:r>
      <w:r w:rsidRPr="009E0E08">
        <w:rPr>
          <w:lang w:val="fr-FR"/>
        </w:rPr>
        <w:t xml:space="preserve"> M. Aversano.</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3</w:t>
      </w:r>
      <w:r w:rsidRPr="009E0E08">
        <w:rPr>
          <w:lang w:val="fr-FR"/>
        </w:rPr>
        <w:fldChar w:fldCharType="end"/>
      </w:r>
      <w:r w:rsidRPr="009E0E08">
        <w:rPr>
          <w:lang w:val="fr-FR"/>
        </w:rPr>
        <w:t>.  Les requérants alléguaient en particulier que leur condamnation pour diffamation prononcée par les tribunaux internes avait emporté violation de leur droit à la liberté d</w:t>
      </w:r>
      <w:r w:rsidR="009E0E08" w:rsidRPr="009E0E08">
        <w:rPr>
          <w:lang w:val="fr-FR"/>
        </w:rPr>
        <w:t>’</w:t>
      </w:r>
      <w:r w:rsidRPr="009E0E08">
        <w:rPr>
          <w:lang w:val="fr-FR"/>
        </w:rPr>
        <w:t>expression.</w:t>
      </w:r>
    </w:p>
    <w:p w:rsidR="009C7C1B" w:rsidRPr="009E0E08" w:rsidRDefault="009C7C1B" w:rsidP="009E0E08">
      <w:pPr>
        <w:pStyle w:val="ECHRPara"/>
        <w:rPr>
          <w:szCs w:val="24"/>
          <w:lang w:val="fr-FR" w:eastAsia="en-GB"/>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4</w:t>
      </w:r>
      <w:r w:rsidRPr="009E0E08">
        <w:rPr>
          <w:lang w:val="fr-FR"/>
        </w:rPr>
        <w:fldChar w:fldCharType="end"/>
      </w:r>
      <w:r w:rsidRPr="009E0E08">
        <w:rPr>
          <w:lang w:val="fr-FR"/>
        </w:rPr>
        <w:t xml:space="preserve">.  Le </w:t>
      </w:r>
      <w:r w:rsidRPr="009E0E08">
        <w:rPr>
          <w:szCs w:val="24"/>
          <w:lang w:val="fr-FR"/>
        </w:rPr>
        <w:t>1</w:t>
      </w:r>
      <w:r w:rsidRPr="009E0E08">
        <w:rPr>
          <w:szCs w:val="24"/>
          <w:vertAlign w:val="superscript"/>
          <w:lang w:val="fr-FR"/>
        </w:rPr>
        <w:t>er</w:t>
      </w:r>
      <w:r w:rsidRPr="009E0E08">
        <w:rPr>
          <w:szCs w:val="24"/>
          <w:lang w:val="fr-FR"/>
        </w:rPr>
        <w:t xml:space="preserve"> septembre 2016</w:t>
      </w:r>
      <w:r w:rsidRPr="009E0E08">
        <w:rPr>
          <w:lang w:val="fr-FR"/>
        </w:rPr>
        <w:t>, la requête a été communiquée au Gouvernement.</w:t>
      </w:r>
    </w:p>
    <w:p w:rsidR="009C7C1B" w:rsidRPr="009E0E08" w:rsidRDefault="009C7C1B" w:rsidP="009E0E08">
      <w:pPr>
        <w:pStyle w:val="ECHRTitle1"/>
        <w:tabs>
          <w:tab w:val="left" w:pos="5387"/>
        </w:tabs>
        <w:rPr>
          <w:lang w:val="fr-FR"/>
        </w:rPr>
      </w:pPr>
      <w:r w:rsidRPr="009E0E08">
        <w:rPr>
          <w:lang w:val="fr-FR"/>
        </w:rPr>
        <w:t>EN FAIT</w:t>
      </w:r>
    </w:p>
    <w:p w:rsidR="009C7C1B" w:rsidRPr="009E0E08" w:rsidRDefault="009C7C1B" w:rsidP="009E0E08">
      <w:pPr>
        <w:pStyle w:val="ECHRHeading1"/>
        <w:rPr>
          <w:lang w:val="fr-FR"/>
        </w:rPr>
      </w:pPr>
      <w:r w:rsidRPr="009E0E08">
        <w:rPr>
          <w:lang w:val="fr-FR"/>
        </w:rPr>
        <w:t>I.  LES CIRCONSTANCES DE L</w:t>
      </w:r>
      <w:r w:rsidR="009E0E08" w:rsidRPr="009E0E08">
        <w:rPr>
          <w:lang w:val="fr-FR"/>
        </w:rPr>
        <w:t>’</w:t>
      </w:r>
      <w:r w:rsidRPr="009E0E08">
        <w:rPr>
          <w:lang w:val="fr-FR"/>
        </w:rPr>
        <w:t>ESPÈCE</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5</w:t>
      </w:r>
      <w:r w:rsidRPr="009E0E08">
        <w:rPr>
          <w:lang w:val="fr-FR"/>
        </w:rPr>
        <w:fldChar w:fldCharType="end"/>
      </w:r>
      <w:r w:rsidRPr="009E0E08">
        <w:rPr>
          <w:lang w:val="fr-FR"/>
        </w:rPr>
        <w:t>.  Les requérants sont nés respectivement en 1947 et en 1958 et résident à Milan. À l</w:t>
      </w:r>
      <w:r w:rsidR="009E0E08" w:rsidRPr="009E0E08">
        <w:rPr>
          <w:lang w:val="fr-FR"/>
        </w:rPr>
        <w:t>’</w:t>
      </w:r>
      <w:r w:rsidRPr="009E0E08">
        <w:rPr>
          <w:lang w:val="fr-FR"/>
        </w:rPr>
        <w:t>époque des faits, le premier requérant était journaliste à l</w:t>
      </w:r>
      <w:r w:rsidR="009E0E08" w:rsidRPr="009E0E08">
        <w:rPr>
          <w:lang w:val="fr-FR"/>
        </w:rPr>
        <w:t>’</w:t>
      </w:r>
      <w:r w:rsidRPr="009E0E08">
        <w:rPr>
          <w:lang w:val="fr-FR"/>
        </w:rPr>
        <w:t xml:space="preserve">hebdomadaire </w:t>
      </w:r>
      <w:r w:rsidRPr="009E0E08">
        <w:rPr>
          <w:i/>
          <w:lang w:val="fr-FR"/>
        </w:rPr>
        <w:t>Gente</w:t>
      </w:r>
      <w:r w:rsidRPr="009E0E08">
        <w:rPr>
          <w:lang w:val="fr-FR"/>
        </w:rPr>
        <w:t>, et le deuxième requérant était directeur responsable de ce journal.</w:t>
      </w:r>
    </w:p>
    <w:p w:rsidR="009C7C1B" w:rsidRPr="009E0E08" w:rsidRDefault="009C7C1B" w:rsidP="009E0E08">
      <w:pPr>
        <w:pStyle w:val="ECHRHeading2"/>
        <w:rPr>
          <w:lang w:val="fr-FR"/>
        </w:rPr>
      </w:pPr>
      <w:r w:rsidRPr="009E0E08">
        <w:rPr>
          <w:lang w:val="fr-FR"/>
        </w:rPr>
        <w:lastRenderedPageBreak/>
        <w:t>A.  Le contexte de l</w:t>
      </w:r>
      <w:r w:rsidR="009E0E08" w:rsidRPr="009E0E08">
        <w:rPr>
          <w:lang w:val="fr-FR"/>
        </w:rPr>
        <w:t>’</w:t>
      </w:r>
      <w:r w:rsidRPr="009E0E08">
        <w:rPr>
          <w:lang w:val="fr-FR"/>
        </w:rPr>
        <w:t>affaire</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6</w:t>
      </w:r>
      <w:r w:rsidRPr="009E0E08">
        <w:rPr>
          <w:lang w:val="fr-FR"/>
        </w:rPr>
        <w:fldChar w:fldCharType="end"/>
      </w:r>
      <w:r w:rsidRPr="009E0E08">
        <w:rPr>
          <w:lang w:val="fr-FR"/>
        </w:rPr>
        <w:t>.  Le 28 mai 1980, le journaliste Walter Tobagi fut tué par un groupe terroriste d</w:t>
      </w:r>
      <w:r w:rsidR="009E0E08" w:rsidRPr="009E0E08">
        <w:rPr>
          <w:lang w:val="fr-FR"/>
        </w:rPr>
        <w:t>’</w:t>
      </w:r>
      <w:r w:rsidRPr="009E0E08">
        <w:rPr>
          <w:lang w:val="fr-FR"/>
        </w:rPr>
        <w:t>extrême gauche dénommé « Brigade 28 mars ». Le leader du groupe, M. B., fut arrêté vers la fin de septembre 1980. Quelques jours après son arrestation, il décida de collaborer avec les enquêteurs et passa aux aveux. Tous les membres du groupe furent arrêtés et condamnés.</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7</w:t>
      </w:r>
      <w:r w:rsidRPr="009E0E08">
        <w:rPr>
          <w:lang w:val="fr-FR"/>
        </w:rPr>
        <w:fldChar w:fldCharType="end"/>
      </w:r>
      <w:r w:rsidRPr="009E0E08">
        <w:rPr>
          <w:lang w:val="fr-FR"/>
        </w:rPr>
        <w:t>.  En juin 1983, le président du Conseil de l</w:t>
      </w:r>
      <w:r w:rsidR="009E0E08" w:rsidRPr="009E0E08">
        <w:rPr>
          <w:lang w:val="fr-FR"/>
        </w:rPr>
        <w:t>’</w:t>
      </w:r>
      <w:r w:rsidRPr="009E0E08">
        <w:rPr>
          <w:lang w:val="fr-FR"/>
        </w:rPr>
        <w:t xml:space="preserve">époque, Bettino Craxi, déclara publiquement que, quelques mois avant la mort de Walter Tobagi, les </w:t>
      </w:r>
      <w:r w:rsidRPr="009E0E08">
        <w:rPr>
          <w:i/>
          <w:lang w:val="fr-FR"/>
        </w:rPr>
        <w:t>carabinieri</w:t>
      </w:r>
      <w:r w:rsidRPr="009E0E08">
        <w:rPr>
          <w:lang w:val="fr-FR"/>
        </w:rPr>
        <w:t xml:space="preserve"> avaient reçu de la part d</w:t>
      </w:r>
      <w:r w:rsidR="009E0E08" w:rsidRPr="009E0E08">
        <w:rPr>
          <w:lang w:val="fr-FR"/>
        </w:rPr>
        <w:t>’</w:t>
      </w:r>
      <w:r w:rsidRPr="009E0E08">
        <w:rPr>
          <w:lang w:val="fr-FR"/>
        </w:rPr>
        <w:t>un informateur (</w:t>
      </w:r>
      <w:r w:rsidRPr="009E0E08">
        <w:rPr>
          <w:i/>
          <w:lang w:val="fr-FR"/>
        </w:rPr>
        <w:t>informatore</w:t>
      </w:r>
      <w:r w:rsidRPr="009E0E08">
        <w:rPr>
          <w:lang w:val="fr-FR"/>
        </w:rPr>
        <w:t>) des renseignements sur une action terroriste visant le journaliste. Quelques mois plus tard, le ministre de l</w:t>
      </w:r>
      <w:r w:rsidR="009E0E08" w:rsidRPr="009E0E08">
        <w:rPr>
          <w:lang w:val="fr-FR"/>
        </w:rPr>
        <w:t>’</w:t>
      </w:r>
      <w:r w:rsidRPr="009E0E08">
        <w:rPr>
          <w:lang w:val="fr-FR"/>
        </w:rPr>
        <w:t>Intérieur de l</w:t>
      </w:r>
      <w:r w:rsidR="009E0E08" w:rsidRPr="009E0E08">
        <w:rPr>
          <w:lang w:val="fr-FR"/>
        </w:rPr>
        <w:t>’</w:t>
      </w:r>
      <w:r w:rsidRPr="009E0E08">
        <w:rPr>
          <w:lang w:val="fr-FR"/>
        </w:rPr>
        <w:t>époque, en réponse à une question parlementaire, rendit public un rapport du 13 décembre 1979, rédigé par le brigadier D.C., dans lequel le projet de séquestrer ou d</w:t>
      </w:r>
      <w:r w:rsidR="009E0E08" w:rsidRPr="009E0E08">
        <w:rPr>
          <w:lang w:val="fr-FR"/>
        </w:rPr>
        <w:t>’</w:t>
      </w:r>
      <w:r w:rsidRPr="009E0E08">
        <w:rPr>
          <w:lang w:val="fr-FR"/>
        </w:rPr>
        <w:t>assassiner Walter Tobagi était évoqué, et révéla le nom de l</w:t>
      </w:r>
      <w:r w:rsidR="009E0E08" w:rsidRPr="009E0E08">
        <w:rPr>
          <w:lang w:val="fr-FR"/>
        </w:rPr>
        <w:t>’</w:t>
      </w:r>
      <w:r w:rsidRPr="009E0E08">
        <w:rPr>
          <w:lang w:val="fr-FR"/>
        </w:rPr>
        <w:t>informateur. Le ministre rappela que l</w:t>
      </w:r>
      <w:r w:rsidR="009E0E08" w:rsidRPr="009E0E08">
        <w:rPr>
          <w:lang w:val="fr-FR"/>
        </w:rPr>
        <w:t>’</w:t>
      </w:r>
      <w:r w:rsidRPr="009E0E08">
        <w:rPr>
          <w:lang w:val="fr-FR"/>
        </w:rPr>
        <w:t xml:space="preserve">activité des </w:t>
      </w:r>
      <w:r w:rsidRPr="009E0E08">
        <w:rPr>
          <w:i/>
          <w:lang w:val="fr-FR"/>
        </w:rPr>
        <w:t>carabinieri</w:t>
      </w:r>
      <w:r w:rsidRPr="009E0E08">
        <w:rPr>
          <w:lang w:val="fr-FR"/>
        </w:rPr>
        <w:t xml:space="preserve"> devait être considérée, dans ce contexte, de police judiciaire impliquant une subordination hiérarchique à l</w:t>
      </w:r>
      <w:r w:rsidR="009E0E08" w:rsidRPr="009E0E08">
        <w:rPr>
          <w:lang w:val="fr-FR"/>
        </w:rPr>
        <w:t>’</w:t>
      </w:r>
      <w:r w:rsidRPr="009E0E08">
        <w:rPr>
          <w:lang w:val="fr-FR"/>
        </w:rPr>
        <w:t>égard de l</w:t>
      </w:r>
      <w:r w:rsidR="009E0E08" w:rsidRPr="009E0E08">
        <w:rPr>
          <w:lang w:val="fr-FR"/>
        </w:rPr>
        <w:t>’</w:t>
      </w:r>
      <w:r w:rsidRPr="009E0E08">
        <w:rPr>
          <w:lang w:val="fr-FR"/>
        </w:rPr>
        <w:t>autorité judiciaire et l</w:t>
      </w:r>
      <w:r w:rsidR="009E0E08" w:rsidRPr="009E0E08">
        <w:rPr>
          <w:lang w:val="fr-FR"/>
        </w:rPr>
        <w:t>’</w:t>
      </w:r>
      <w:r w:rsidRPr="009E0E08">
        <w:rPr>
          <w:lang w:val="fr-FR"/>
        </w:rPr>
        <w:t>obligation de l</w:t>
      </w:r>
      <w:r w:rsidR="009E0E08" w:rsidRPr="009E0E08">
        <w:rPr>
          <w:lang w:val="fr-FR"/>
        </w:rPr>
        <w:t>’</w:t>
      </w:r>
      <w:r w:rsidRPr="009E0E08">
        <w:rPr>
          <w:lang w:val="fr-FR"/>
        </w:rPr>
        <w:t>informer du rapport.</w:t>
      </w:r>
    </w:p>
    <w:p w:rsidR="009C7C1B" w:rsidRPr="009E0E08" w:rsidRDefault="009C7C1B" w:rsidP="009E0E08">
      <w:pPr>
        <w:pStyle w:val="ECHRHeading2"/>
        <w:rPr>
          <w:lang w:val="fr-FR"/>
        </w:rPr>
      </w:pPr>
      <w:r w:rsidRPr="009E0E08">
        <w:rPr>
          <w:lang w:val="fr-FR"/>
        </w:rPr>
        <w:t>B.  La parution de l</w:t>
      </w:r>
      <w:r w:rsidR="009E0E08" w:rsidRPr="009E0E08">
        <w:rPr>
          <w:lang w:val="fr-FR"/>
        </w:rPr>
        <w:t>’</w:t>
      </w:r>
      <w:r w:rsidRPr="009E0E08">
        <w:rPr>
          <w:lang w:val="fr-FR"/>
        </w:rPr>
        <w:t>article de presse litigieux et la procédure pénale diligentée contre les requérants</w:t>
      </w:r>
    </w:p>
    <w:bookmarkStart w:id="2" w:name="ARTICLE_TITRE_SOUSTITRES"/>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8</w:t>
      </w:r>
      <w:r w:rsidRPr="009E0E08">
        <w:rPr>
          <w:lang w:val="fr-FR"/>
        </w:rPr>
        <w:fldChar w:fldCharType="end"/>
      </w:r>
      <w:bookmarkEnd w:id="2"/>
      <w:r w:rsidRPr="009E0E08">
        <w:rPr>
          <w:lang w:val="fr-FR"/>
        </w:rPr>
        <w:t>.  Le 17 juin 2004, le premier requérant signa un article portant sur l</w:t>
      </w:r>
      <w:r w:rsidR="009E0E08" w:rsidRPr="009E0E08">
        <w:rPr>
          <w:lang w:val="fr-FR"/>
        </w:rPr>
        <w:t>’</w:t>
      </w:r>
      <w:r w:rsidRPr="009E0E08">
        <w:rPr>
          <w:lang w:val="fr-FR"/>
        </w:rPr>
        <w:t>assassinat de Walter Tobagi, intitulé « Tobagi pouvait être sauvé » et accompagné des sous-titres suivants : « Sur l</w:t>
      </w:r>
      <w:r w:rsidR="009E0E08" w:rsidRPr="009E0E08">
        <w:rPr>
          <w:lang w:val="fr-FR"/>
        </w:rPr>
        <w:t>’</w:t>
      </w:r>
      <w:r w:rsidRPr="009E0E08">
        <w:rPr>
          <w:lang w:val="fr-FR"/>
        </w:rPr>
        <w:t>assassinat du journaliste, ils m</w:t>
      </w:r>
      <w:r w:rsidR="009E0E08" w:rsidRPr="009E0E08">
        <w:rPr>
          <w:lang w:val="fr-FR"/>
        </w:rPr>
        <w:t>’</w:t>
      </w:r>
      <w:r w:rsidRPr="009E0E08">
        <w:rPr>
          <w:lang w:val="fr-FR"/>
        </w:rPr>
        <w:t xml:space="preserve">ont dit : « Taisez-vous ! » » ; « En exclusivité, le récit du sous-officier des </w:t>
      </w:r>
      <w:r w:rsidRPr="009E0E08">
        <w:rPr>
          <w:i/>
          <w:lang w:val="fr-FR"/>
        </w:rPr>
        <w:t>carabinieri</w:t>
      </w:r>
      <w:r w:rsidRPr="009E0E08">
        <w:rPr>
          <w:lang w:val="fr-FR"/>
        </w:rPr>
        <w:t xml:space="preserve"> qui, six mois avant le crime, a dévoilé le plan et donné les noms des terroristes « J</w:t>
      </w:r>
      <w:r w:rsidR="009E0E08" w:rsidRPr="009E0E08">
        <w:rPr>
          <w:lang w:val="fr-FR"/>
        </w:rPr>
        <w:t>’</w:t>
      </w:r>
      <w:r w:rsidRPr="009E0E08">
        <w:rPr>
          <w:lang w:val="fr-FR"/>
        </w:rPr>
        <w:t>ai expliqué au chef d</w:t>
      </w:r>
      <w:r w:rsidR="009E0E08" w:rsidRPr="009E0E08">
        <w:rPr>
          <w:lang w:val="fr-FR"/>
        </w:rPr>
        <w:t>’</w:t>
      </w:r>
      <w:r w:rsidRPr="009E0E08">
        <w:rPr>
          <w:lang w:val="fr-FR"/>
        </w:rPr>
        <w:t>état-major ce que je savais, il n</w:t>
      </w:r>
      <w:r w:rsidR="009E0E08" w:rsidRPr="009E0E08">
        <w:rPr>
          <w:lang w:val="fr-FR"/>
        </w:rPr>
        <w:t>’</w:t>
      </w:r>
      <w:r w:rsidRPr="009E0E08">
        <w:rPr>
          <w:lang w:val="fr-FR"/>
        </w:rPr>
        <w:t>a rien fait » » ; « « Même [le général Dalla Chiesa, chef de l</w:t>
      </w:r>
      <w:r w:rsidR="009E0E08" w:rsidRPr="009E0E08">
        <w:rPr>
          <w:lang w:val="fr-FR"/>
        </w:rPr>
        <w:t>’</w:t>
      </w:r>
      <w:r w:rsidRPr="009E0E08">
        <w:rPr>
          <w:lang w:val="fr-FR"/>
        </w:rPr>
        <w:t>unité de coordination de la lutte contre le terrorisme à Milan et dans le nord de l</w:t>
      </w:r>
      <w:r w:rsidR="009E0E08" w:rsidRPr="009E0E08">
        <w:rPr>
          <w:lang w:val="fr-FR"/>
        </w:rPr>
        <w:t>’</w:t>
      </w:r>
      <w:r w:rsidRPr="009E0E08">
        <w:rPr>
          <w:lang w:val="fr-FR"/>
        </w:rPr>
        <w:t>Italie à l</w:t>
      </w:r>
      <w:r w:rsidR="009E0E08" w:rsidRPr="009E0E08">
        <w:rPr>
          <w:lang w:val="fr-FR"/>
        </w:rPr>
        <w:t>’</w:t>
      </w:r>
      <w:r w:rsidRPr="009E0E08">
        <w:rPr>
          <w:lang w:val="fr-FR"/>
        </w:rPr>
        <w:t>époque de l</w:t>
      </w:r>
      <w:r w:rsidR="009E0E08" w:rsidRPr="009E0E08">
        <w:rPr>
          <w:lang w:val="fr-FR"/>
        </w:rPr>
        <w:t>’</w:t>
      </w:r>
      <w:r w:rsidRPr="009E0E08">
        <w:rPr>
          <w:lang w:val="fr-FR"/>
        </w:rPr>
        <w:t xml:space="preserve">assassinat de Walter Tobagi] est isolé » dit le général [N.B.] à </w:t>
      </w:r>
      <w:r w:rsidRPr="009E0E08">
        <w:rPr>
          <w:i/>
          <w:lang w:val="fr-FR"/>
        </w:rPr>
        <w:t>Gente</w:t>
      </w:r>
      <w:r w:rsidRPr="009E0E08">
        <w:rPr>
          <w:lang w:val="fr-FR"/>
        </w:rPr>
        <w:t> » ; « Le capitaine [A.] a choisi de s</w:t>
      </w:r>
      <w:r w:rsidR="009E0E08" w:rsidRPr="009E0E08">
        <w:rPr>
          <w:lang w:val="fr-FR"/>
        </w:rPr>
        <w:t>’</w:t>
      </w:r>
      <w:r w:rsidRPr="009E0E08">
        <w:rPr>
          <w:lang w:val="fr-FR"/>
        </w:rPr>
        <w:t>en aller en démissionnant – il était un personnage de premier plan au sein de la section antiterroriste du général Dalla Chiesa. Le brigadier D.C. était à ses ordres : lorsque [A.] a démissionné, les ennuis ont commencé ».</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9</w:t>
      </w:r>
      <w:r w:rsidRPr="009E0E08">
        <w:rPr>
          <w:lang w:val="fr-FR"/>
        </w:rPr>
        <w:fldChar w:fldCharType="end"/>
      </w:r>
      <w:r w:rsidRPr="009E0E08">
        <w:rPr>
          <w:lang w:val="fr-FR"/>
        </w:rPr>
        <w:t>.  Dans son article, le premier requérant rapportait tout d</w:t>
      </w:r>
      <w:r w:rsidR="009E0E08" w:rsidRPr="009E0E08">
        <w:rPr>
          <w:lang w:val="fr-FR"/>
        </w:rPr>
        <w:t>’</w:t>
      </w:r>
      <w:r w:rsidRPr="009E0E08">
        <w:rPr>
          <w:lang w:val="fr-FR"/>
        </w:rPr>
        <w:t xml:space="preserve">abord les déclarations de D.C., ancien brigadier des </w:t>
      </w:r>
      <w:r w:rsidRPr="009E0E08">
        <w:rPr>
          <w:i/>
          <w:lang w:val="fr-FR"/>
        </w:rPr>
        <w:t>carabinieri</w:t>
      </w:r>
      <w:r w:rsidRPr="009E0E08">
        <w:rPr>
          <w:lang w:val="fr-FR"/>
        </w:rPr>
        <w:t xml:space="preserve"> de la section antiterroriste de Milan. D</w:t>
      </w:r>
      <w:r w:rsidR="009E0E08" w:rsidRPr="009E0E08">
        <w:rPr>
          <w:lang w:val="fr-FR"/>
        </w:rPr>
        <w:t>’</w:t>
      </w:r>
      <w:r w:rsidRPr="009E0E08">
        <w:rPr>
          <w:lang w:val="fr-FR"/>
        </w:rPr>
        <w:t>après ces déclarations, quelques mois avant le crime, D.C. avait obtenu de la part d</w:t>
      </w:r>
      <w:r w:rsidR="009E0E08" w:rsidRPr="009E0E08">
        <w:rPr>
          <w:lang w:val="fr-FR"/>
        </w:rPr>
        <w:t>’</w:t>
      </w:r>
      <w:r w:rsidRPr="009E0E08">
        <w:rPr>
          <w:lang w:val="fr-FR"/>
        </w:rPr>
        <w:t>un informateur des renseignements sur un possible projet d</w:t>
      </w:r>
      <w:r w:rsidR="009E0E08" w:rsidRPr="009E0E08">
        <w:rPr>
          <w:lang w:val="fr-FR"/>
        </w:rPr>
        <w:t>’</w:t>
      </w:r>
      <w:r w:rsidRPr="009E0E08">
        <w:rPr>
          <w:lang w:val="fr-FR"/>
        </w:rPr>
        <w:t>attentat ayant pour cible Walter Tobagi. Toujours selon ces déclarations, D.C. avait donné les noms des suspects à ses supérieurs et ces derniers lui avaient ordonné de rédiger un rapport anonyme.</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10</w:t>
      </w:r>
      <w:r w:rsidRPr="009E0E08">
        <w:rPr>
          <w:lang w:val="fr-FR"/>
        </w:rPr>
        <w:fldChar w:fldCharType="end"/>
      </w:r>
      <w:r w:rsidRPr="009E0E08">
        <w:rPr>
          <w:lang w:val="fr-FR"/>
        </w:rPr>
        <w:t>.  Le premier requérant rapportait ensuite les affirmations d</w:t>
      </w:r>
      <w:r w:rsidR="009E0E08" w:rsidRPr="009E0E08">
        <w:rPr>
          <w:lang w:val="fr-FR"/>
        </w:rPr>
        <w:t>’</w:t>
      </w:r>
      <w:r w:rsidRPr="009E0E08">
        <w:rPr>
          <w:lang w:val="fr-FR"/>
        </w:rPr>
        <w:t xml:space="preserve">un autre ancien officier du corps des </w:t>
      </w:r>
      <w:r w:rsidRPr="009E0E08">
        <w:rPr>
          <w:i/>
          <w:lang w:val="fr-FR"/>
        </w:rPr>
        <w:t>carabinieri</w:t>
      </w:r>
      <w:r w:rsidRPr="009E0E08">
        <w:rPr>
          <w:lang w:val="fr-FR"/>
        </w:rPr>
        <w:t>, le général N. B., adjudant du général Dalla Chiesa. Dans ses déclarations faites au premier requérant, le général N.B. avait indiqué avoir informé son supérieur que les capitaines A.R. et U.B. le tenaient à l</w:t>
      </w:r>
      <w:r w:rsidR="009E0E08" w:rsidRPr="009E0E08">
        <w:rPr>
          <w:lang w:val="fr-FR"/>
        </w:rPr>
        <w:t>’</w:t>
      </w:r>
      <w:r w:rsidRPr="009E0E08">
        <w:rPr>
          <w:lang w:val="fr-FR"/>
        </w:rPr>
        <w:t>écart des activités d</w:t>
      </w:r>
      <w:r w:rsidR="009E0E08" w:rsidRPr="009E0E08">
        <w:rPr>
          <w:lang w:val="fr-FR"/>
        </w:rPr>
        <w:t>’</w:t>
      </w:r>
      <w:r w:rsidRPr="009E0E08">
        <w:rPr>
          <w:lang w:val="fr-FR"/>
        </w:rPr>
        <w:t xml:space="preserve">investigation des </w:t>
      </w:r>
      <w:r w:rsidRPr="009E0E08">
        <w:rPr>
          <w:i/>
          <w:lang w:val="fr-FR"/>
        </w:rPr>
        <w:t>carabinieri</w:t>
      </w:r>
      <w:r w:rsidRPr="009E0E08">
        <w:rPr>
          <w:lang w:val="fr-FR"/>
        </w:rPr>
        <w:t xml:space="preserve"> de Milan et en référaient directement à leurs supérieurs directs.</w:t>
      </w:r>
    </w:p>
    <w:bookmarkStart w:id="3" w:name="ARTICLE_INTRODUCTION"/>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11</w:t>
      </w:r>
      <w:r w:rsidRPr="009E0E08">
        <w:rPr>
          <w:lang w:val="fr-FR"/>
        </w:rPr>
        <w:fldChar w:fldCharType="end"/>
      </w:r>
      <w:bookmarkEnd w:id="3"/>
      <w:r w:rsidRPr="009E0E08">
        <w:rPr>
          <w:lang w:val="fr-FR"/>
        </w:rPr>
        <w:t>.  L</w:t>
      </w:r>
      <w:r w:rsidR="009E0E08" w:rsidRPr="009E0E08">
        <w:rPr>
          <w:lang w:val="fr-FR"/>
        </w:rPr>
        <w:t>’</w:t>
      </w:r>
      <w:r w:rsidRPr="009E0E08">
        <w:rPr>
          <w:lang w:val="fr-FR"/>
        </w:rPr>
        <w:t>introduction de l</w:t>
      </w:r>
      <w:r w:rsidR="009E0E08" w:rsidRPr="009E0E08">
        <w:rPr>
          <w:lang w:val="fr-FR"/>
        </w:rPr>
        <w:t>’</w:t>
      </w:r>
      <w:r w:rsidRPr="009E0E08">
        <w:rPr>
          <w:lang w:val="fr-FR"/>
        </w:rPr>
        <w:t>article était, en ses parties pertinentes, ainsi rédigée :</w:t>
      </w:r>
    </w:p>
    <w:p w:rsidR="009C7C1B" w:rsidRPr="009E0E08" w:rsidRDefault="009C7C1B" w:rsidP="009E0E08">
      <w:pPr>
        <w:pStyle w:val="ECHRParaQuote"/>
        <w:rPr>
          <w:lang w:val="fr-FR"/>
        </w:rPr>
      </w:pPr>
      <w:r w:rsidRPr="009E0E08">
        <w:rPr>
          <w:lang w:val="fr-FR"/>
        </w:rPr>
        <w:t>« Le journaliste Walter Tobagi a été tué alors qu</w:t>
      </w:r>
      <w:r w:rsidR="009E0E08" w:rsidRPr="009E0E08">
        <w:rPr>
          <w:lang w:val="fr-FR"/>
        </w:rPr>
        <w:t>’</w:t>
      </w:r>
      <w:r w:rsidRPr="009E0E08">
        <w:rPr>
          <w:lang w:val="fr-FR"/>
        </w:rPr>
        <w:t xml:space="preserve">il se battait pour empêcher la prise de contrôle du </w:t>
      </w:r>
      <w:r w:rsidRPr="009E0E08">
        <w:rPr>
          <w:i/>
          <w:lang w:val="fr-FR"/>
        </w:rPr>
        <w:t>Corriere della Sera</w:t>
      </w:r>
      <w:r w:rsidRPr="009E0E08">
        <w:rPr>
          <w:lang w:val="fr-FR"/>
        </w:rPr>
        <w:t xml:space="preserve"> [le quotidien où Walter Tobagi travaillait] par la loge maçonnique « P2 »</w:t>
      </w:r>
      <w:r w:rsidRPr="009E0E08">
        <w:rPr>
          <w:rStyle w:val="Rimandonotaapidipagina"/>
          <w:lang w:val="fr-FR"/>
        </w:rPr>
        <w:footnoteReference w:id="1"/>
      </w:r>
      <w:r w:rsidRPr="009E0E08">
        <w:rPr>
          <w:lang w:val="fr-FR"/>
        </w:rPr>
        <w:t xml:space="preserve"> et faire la lumière sur les mystères de l</w:t>
      </w:r>
      <w:r w:rsidR="009E0E08" w:rsidRPr="009E0E08">
        <w:rPr>
          <w:lang w:val="fr-FR"/>
        </w:rPr>
        <w:t>’</w:t>
      </w:r>
      <w:r w:rsidRPr="009E0E08">
        <w:rPr>
          <w:lang w:val="fr-FR"/>
        </w:rPr>
        <w:t>affaire « Aldo Moro » [tué par les « Brigades Rouges » le 9 mai 1978].</w:t>
      </w:r>
    </w:p>
    <w:p w:rsidR="009C7C1B" w:rsidRPr="009E0E08" w:rsidRDefault="009C7C1B" w:rsidP="009E0E08">
      <w:pPr>
        <w:pStyle w:val="ECHRParaQuote"/>
        <w:rPr>
          <w:lang w:val="fr-FR"/>
        </w:rPr>
      </w:pPr>
      <w:r w:rsidRPr="009E0E08">
        <w:rPr>
          <w:lang w:val="fr-FR"/>
        </w:rPr>
        <w:t>Grâce aux révélations de l</w:t>
      </w:r>
      <w:r w:rsidR="009E0E08" w:rsidRPr="009E0E08">
        <w:rPr>
          <w:lang w:val="fr-FR"/>
        </w:rPr>
        <w:t>’</w:t>
      </w:r>
      <w:r w:rsidRPr="009E0E08">
        <w:rPr>
          <w:lang w:val="fr-FR"/>
        </w:rPr>
        <w:t xml:space="preserve">ancien brigadier des </w:t>
      </w:r>
      <w:r w:rsidRPr="009E0E08">
        <w:rPr>
          <w:i/>
          <w:lang w:val="fr-FR"/>
        </w:rPr>
        <w:t>carabinieri</w:t>
      </w:r>
      <w:r w:rsidRPr="009E0E08">
        <w:rPr>
          <w:lang w:val="fr-FR"/>
        </w:rPr>
        <w:t xml:space="preserve"> [D.C.], nom de code « </w:t>
      </w:r>
      <w:r w:rsidRPr="009E0E08">
        <w:rPr>
          <w:i/>
          <w:lang w:val="fr-FR"/>
        </w:rPr>
        <w:t>Ciondolo </w:t>
      </w:r>
      <w:r w:rsidRPr="009E0E08">
        <w:rPr>
          <w:lang w:val="fr-FR"/>
        </w:rPr>
        <w:t xml:space="preserve">», maintenant nous savons que Tobagi aurait pu être sauvé. Après la mort du journaliste, la haute hiérarchie du corps [des </w:t>
      </w:r>
      <w:r w:rsidRPr="009E0E08">
        <w:rPr>
          <w:i/>
          <w:lang w:val="fr-FR"/>
        </w:rPr>
        <w:t>carabinieri</w:t>
      </w:r>
      <w:r w:rsidRPr="009E0E08">
        <w:rPr>
          <w:lang w:val="fr-FR"/>
        </w:rPr>
        <w:t>] a ordonné [à D.C.] de se taire.</w:t>
      </w:r>
    </w:p>
    <w:p w:rsidR="009C7C1B" w:rsidRPr="009E0E08" w:rsidRDefault="009C7C1B" w:rsidP="009E0E08">
      <w:pPr>
        <w:pStyle w:val="ECHRParaQuote"/>
        <w:rPr>
          <w:lang w:val="fr-FR"/>
        </w:rPr>
      </w:pPr>
      <w:r w:rsidRPr="009E0E08">
        <w:rPr>
          <w:lang w:val="fr-FR"/>
        </w:rPr>
        <w:t>Ensuite, les déclarations du général [N.B.] nous ont appris que le général Dalla Chiesa n</w:t>
      </w:r>
      <w:r w:rsidR="009E0E08" w:rsidRPr="009E0E08">
        <w:rPr>
          <w:lang w:val="fr-FR"/>
        </w:rPr>
        <w:t>’</w:t>
      </w:r>
      <w:r w:rsidRPr="009E0E08">
        <w:rPr>
          <w:lang w:val="fr-FR"/>
        </w:rPr>
        <w:t>avait pas le contrôle de la section antiterroriste de Milan, alors que l</w:t>
      </w:r>
      <w:r w:rsidR="009E0E08" w:rsidRPr="009E0E08">
        <w:rPr>
          <w:lang w:val="fr-FR"/>
        </w:rPr>
        <w:t>’</w:t>
      </w:r>
      <w:r w:rsidRPr="009E0E08">
        <w:rPr>
          <w:lang w:val="fr-FR"/>
        </w:rPr>
        <w:t>Italie entière voyait le général comme l</w:t>
      </w:r>
      <w:r w:rsidR="009E0E08" w:rsidRPr="009E0E08">
        <w:rPr>
          <w:lang w:val="fr-FR"/>
        </w:rPr>
        <w:t>’</w:t>
      </w:r>
      <w:r w:rsidRPr="009E0E08">
        <w:rPr>
          <w:lang w:val="fr-FR"/>
        </w:rPr>
        <w:t>homme de la lutte antiterroriste. Au contraire, lui et le général [N.B.] ne recevaient plus les rapports d</w:t>
      </w:r>
      <w:r w:rsidR="009E0E08" w:rsidRPr="009E0E08">
        <w:rPr>
          <w:lang w:val="fr-FR"/>
        </w:rPr>
        <w:t>’</w:t>
      </w:r>
      <w:r w:rsidRPr="009E0E08">
        <w:rPr>
          <w:lang w:val="fr-FR"/>
        </w:rPr>
        <w:t>opération [de la section de Milan], qui finissaient entre les mains d</w:t>
      </w:r>
      <w:r w:rsidR="009E0E08" w:rsidRPr="009E0E08">
        <w:rPr>
          <w:lang w:val="fr-FR"/>
        </w:rPr>
        <w:t>’</w:t>
      </w:r>
      <w:r w:rsidRPr="009E0E08">
        <w:rPr>
          <w:lang w:val="fr-FR"/>
        </w:rPr>
        <w:t>officiers membres de [la loge] P2.</w:t>
      </w:r>
    </w:p>
    <w:p w:rsidR="009C7C1B" w:rsidRPr="009E0E08" w:rsidRDefault="009C7C1B" w:rsidP="009E0E08">
      <w:pPr>
        <w:pStyle w:val="ECHRParaQuote"/>
        <w:rPr>
          <w:lang w:val="fr-FR"/>
        </w:rPr>
      </w:pPr>
      <w:r w:rsidRPr="009E0E08">
        <w:rPr>
          <w:lang w:val="fr-FR"/>
        </w:rPr>
        <w:t>Cela ne veut pas dire que l</w:t>
      </w:r>
      <w:r w:rsidR="009E0E08" w:rsidRPr="009E0E08">
        <w:rPr>
          <w:lang w:val="fr-FR"/>
        </w:rPr>
        <w:t>’</w:t>
      </w:r>
      <w:r w:rsidRPr="009E0E08">
        <w:rPr>
          <w:i/>
          <w:lang w:val="fr-FR"/>
        </w:rPr>
        <w:t>Arma</w:t>
      </w:r>
      <w:r w:rsidRPr="009E0E08">
        <w:rPr>
          <w:lang w:val="fr-FR"/>
        </w:rPr>
        <w:t xml:space="preserve"> des </w:t>
      </w:r>
      <w:r w:rsidRPr="009E0E08">
        <w:rPr>
          <w:i/>
          <w:lang w:val="fr-FR"/>
        </w:rPr>
        <w:t>carabinieri</w:t>
      </w:r>
      <w:r w:rsidRPr="009E0E08">
        <w:rPr>
          <w:lang w:val="fr-FR"/>
        </w:rPr>
        <w:t xml:space="preserve"> était sous le contrôle de loges secrètes : des hommes de valeur comme Dalla Chiesa, le général [N.B.], le capitaine [A.] et « </w:t>
      </w:r>
      <w:r w:rsidRPr="009E0E08">
        <w:rPr>
          <w:i/>
          <w:lang w:val="fr-FR"/>
        </w:rPr>
        <w:t>Ciondolo</w:t>
      </w:r>
      <w:r w:rsidRPr="009E0E08">
        <w:rPr>
          <w:lang w:val="fr-FR"/>
        </w:rPr>
        <w:t> » portaient l</w:t>
      </w:r>
      <w:r w:rsidR="009E0E08" w:rsidRPr="009E0E08">
        <w:rPr>
          <w:lang w:val="fr-FR"/>
        </w:rPr>
        <w:t>’</w:t>
      </w:r>
      <w:r w:rsidRPr="009E0E08">
        <w:rPr>
          <w:lang w:val="fr-FR"/>
        </w:rPr>
        <w:t>uniforme.</w:t>
      </w:r>
    </w:p>
    <w:p w:rsidR="009C7C1B" w:rsidRPr="009E0E08" w:rsidRDefault="009C7C1B" w:rsidP="009E0E08">
      <w:pPr>
        <w:pStyle w:val="ECHRParaQuote"/>
        <w:rPr>
          <w:lang w:val="fr-FR"/>
        </w:rPr>
      </w:pPr>
      <w:r w:rsidRPr="009E0E08">
        <w:rPr>
          <w:lang w:val="fr-FR"/>
        </w:rPr>
        <w:t>Aujourd</w:t>
      </w:r>
      <w:r w:rsidR="009E0E08" w:rsidRPr="009E0E08">
        <w:rPr>
          <w:lang w:val="fr-FR"/>
        </w:rPr>
        <w:t>’</w:t>
      </w:r>
      <w:r w:rsidRPr="009E0E08">
        <w:rPr>
          <w:lang w:val="fr-FR"/>
        </w:rPr>
        <w:t>hui, plusieurs années après les événements, il est juste de reconnaître et de rétablir la vérité : l</w:t>
      </w:r>
      <w:r w:rsidR="009E0E08" w:rsidRPr="009E0E08">
        <w:rPr>
          <w:lang w:val="fr-FR"/>
        </w:rPr>
        <w:t>’</w:t>
      </w:r>
      <w:r w:rsidRPr="009E0E08">
        <w:rPr>
          <w:lang w:val="fr-FR"/>
        </w:rPr>
        <w:t xml:space="preserve">autocritique est un remède utile, même dans un corps sain. </w:t>
      </w:r>
      <w:r w:rsidRPr="009E0E08">
        <w:rPr>
          <w:i/>
          <w:lang w:val="fr-FR"/>
        </w:rPr>
        <w:t>Gente</w:t>
      </w:r>
      <w:r w:rsidRPr="009E0E08">
        <w:rPr>
          <w:lang w:val="fr-FR"/>
        </w:rPr>
        <w:t xml:space="preserve"> se limite à une simple constatation : dans les années soixante, on parlait d</w:t>
      </w:r>
      <w:r w:rsidR="009E0E08" w:rsidRPr="009E0E08">
        <w:rPr>
          <w:lang w:val="fr-FR"/>
        </w:rPr>
        <w:t>’</w:t>
      </w:r>
      <w:r w:rsidRPr="009E0E08">
        <w:rPr>
          <w:lang w:val="fr-FR"/>
        </w:rPr>
        <w:t>un coup d</w:t>
      </w:r>
      <w:r w:rsidR="009E0E08" w:rsidRPr="009E0E08">
        <w:rPr>
          <w:lang w:val="fr-FR"/>
        </w:rPr>
        <w:t>’</w:t>
      </w:r>
      <w:r w:rsidRPr="009E0E08">
        <w:rPr>
          <w:lang w:val="fr-FR"/>
        </w:rPr>
        <w:t>État raté, dans un scénario beaucoup moins abouti que celui décrit par le général [N.B.].</w:t>
      </w:r>
    </w:p>
    <w:p w:rsidR="009C7C1B" w:rsidRPr="009E0E08" w:rsidRDefault="009C7C1B" w:rsidP="009E0E08">
      <w:pPr>
        <w:pStyle w:val="ECHRParaQuote"/>
        <w:rPr>
          <w:lang w:val="fr-FR"/>
        </w:rPr>
      </w:pPr>
      <w:r w:rsidRPr="009E0E08">
        <w:rPr>
          <w:lang w:val="fr-FR"/>
        </w:rPr>
        <w:t>Aujourd</w:t>
      </w:r>
      <w:r w:rsidR="009E0E08" w:rsidRPr="009E0E08">
        <w:rPr>
          <w:lang w:val="fr-FR"/>
        </w:rPr>
        <w:t>’</w:t>
      </w:r>
      <w:r w:rsidRPr="009E0E08">
        <w:rPr>
          <w:lang w:val="fr-FR"/>
        </w:rPr>
        <w:t>hui, il nous semble légitime de demander : que s</w:t>
      </w:r>
      <w:r w:rsidR="009E0E08" w:rsidRPr="009E0E08">
        <w:rPr>
          <w:lang w:val="fr-FR"/>
        </w:rPr>
        <w:t>’</w:t>
      </w:r>
      <w:r w:rsidRPr="009E0E08">
        <w:rPr>
          <w:lang w:val="fr-FR"/>
        </w:rPr>
        <w:t>est-il vraiment passé dans l</w:t>
      </w:r>
      <w:r w:rsidR="009E0E08" w:rsidRPr="009E0E08">
        <w:rPr>
          <w:lang w:val="fr-FR"/>
        </w:rPr>
        <w:t>’</w:t>
      </w:r>
      <w:r w:rsidRPr="009E0E08">
        <w:rPr>
          <w:i/>
          <w:lang w:val="fr-FR"/>
        </w:rPr>
        <w:t>Arma</w:t>
      </w:r>
      <w:r w:rsidRPr="009E0E08">
        <w:rPr>
          <w:lang w:val="fr-FR"/>
        </w:rPr>
        <w:t xml:space="preserve"> pend</w:t>
      </w:r>
      <w:r w:rsidR="00F8223C" w:rsidRPr="009E0E08">
        <w:rPr>
          <w:lang w:val="fr-FR"/>
        </w:rPr>
        <w:t>ant « les années de plomb » ? »</w:t>
      </w:r>
    </w:p>
    <w:bookmarkStart w:id="4" w:name="ARTICLE_INTERVIEWS"/>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12</w:t>
      </w:r>
      <w:r w:rsidRPr="009E0E08">
        <w:rPr>
          <w:lang w:val="fr-FR"/>
        </w:rPr>
        <w:fldChar w:fldCharType="end"/>
      </w:r>
      <w:bookmarkEnd w:id="4"/>
      <w:r w:rsidRPr="009E0E08">
        <w:rPr>
          <w:lang w:val="fr-FR"/>
        </w:rPr>
        <w:t>.  Le texte de l</w:t>
      </w:r>
      <w:r w:rsidR="009E0E08" w:rsidRPr="009E0E08">
        <w:rPr>
          <w:lang w:val="fr-FR"/>
        </w:rPr>
        <w:t>’</w:t>
      </w:r>
      <w:r w:rsidRPr="009E0E08">
        <w:rPr>
          <w:lang w:val="fr-FR"/>
        </w:rPr>
        <w:t>entretien s</w:t>
      </w:r>
      <w:r w:rsidR="009E0E08" w:rsidRPr="009E0E08">
        <w:rPr>
          <w:lang w:val="fr-FR"/>
        </w:rPr>
        <w:t>’</w:t>
      </w:r>
      <w:r w:rsidRPr="009E0E08">
        <w:rPr>
          <w:lang w:val="fr-FR"/>
        </w:rPr>
        <w:t>ouvrait avec les propos de l</w:t>
      </w:r>
      <w:r w:rsidR="009E0E08" w:rsidRPr="009E0E08">
        <w:rPr>
          <w:lang w:val="fr-FR"/>
        </w:rPr>
        <w:t>’</w:t>
      </w:r>
      <w:r w:rsidRPr="009E0E08">
        <w:rPr>
          <w:lang w:val="fr-FR"/>
        </w:rPr>
        <w:t>ancien brigadier D.C. :</w:t>
      </w:r>
    </w:p>
    <w:p w:rsidR="009C7C1B" w:rsidRPr="009E0E08" w:rsidRDefault="009C7C1B" w:rsidP="009E0E08">
      <w:pPr>
        <w:pStyle w:val="ECHRParaQuote"/>
        <w:rPr>
          <w:lang w:val="fr-FR"/>
        </w:rPr>
      </w:pPr>
      <w:r w:rsidRPr="009E0E08">
        <w:rPr>
          <w:lang w:val="fr-FR"/>
        </w:rPr>
        <w:t>« Le général [G.R.] m</w:t>
      </w:r>
      <w:r w:rsidR="009E0E08" w:rsidRPr="009E0E08">
        <w:rPr>
          <w:lang w:val="fr-FR"/>
        </w:rPr>
        <w:t>’</w:t>
      </w:r>
      <w:r w:rsidRPr="009E0E08">
        <w:rPr>
          <w:lang w:val="fr-FR"/>
        </w:rPr>
        <w:t>a convoqué au commandement général de l</w:t>
      </w:r>
      <w:r w:rsidR="009E0E08" w:rsidRPr="009E0E08">
        <w:rPr>
          <w:lang w:val="fr-FR"/>
        </w:rPr>
        <w:t>’</w:t>
      </w:r>
      <w:r w:rsidRPr="009E0E08">
        <w:rPr>
          <w:i/>
          <w:lang w:val="fr-FR"/>
        </w:rPr>
        <w:t>Arma</w:t>
      </w:r>
      <w:r w:rsidRPr="009E0E08">
        <w:rPr>
          <w:lang w:val="fr-FR"/>
        </w:rPr>
        <w:t xml:space="preserve"> et m</w:t>
      </w:r>
      <w:r w:rsidR="009E0E08" w:rsidRPr="009E0E08">
        <w:rPr>
          <w:lang w:val="fr-FR"/>
        </w:rPr>
        <w:t>’</w:t>
      </w:r>
      <w:r w:rsidRPr="009E0E08">
        <w:rPr>
          <w:lang w:val="fr-FR"/>
        </w:rPr>
        <w:t>a dit, en présence des capitaines [A.R.] et [U.B.], que « ce que nous nous sommes dit ici sur l</w:t>
      </w:r>
      <w:r w:rsidR="009E0E08" w:rsidRPr="009E0E08">
        <w:rPr>
          <w:lang w:val="fr-FR"/>
        </w:rPr>
        <w:t>’</w:t>
      </w:r>
      <w:r w:rsidRPr="009E0E08">
        <w:rPr>
          <w:lang w:val="fr-FR"/>
        </w:rPr>
        <w:t>assassinat de Walter Tobagi doit rester secret. C</w:t>
      </w:r>
      <w:r w:rsidR="009E0E08" w:rsidRPr="009E0E08">
        <w:rPr>
          <w:lang w:val="fr-FR"/>
        </w:rPr>
        <w:t>’</w:t>
      </w:r>
      <w:r w:rsidRPr="009E0E08">
        <w:rPr>
          <w:lang w:val="fr-FR"/>
        </w:rPr>
        <w:t>est un ordre ».</w:t>
      </w:r>
    </w:p>
    <w:p w:rsidR="009C7C1B" w:rsidRPr="009E0E08" w:rsidRDefault="009C7C1B" w:rsidP="009E0E08">
      <w:pPr>
        <w:pStyle w:val="ECHRParaQuote"/>
        <w:rPr>
          <w:lang w:val="fr-FR"/>
        </w:rPr>
      </w:pPr>
      <w:r w:rsidRPr="009E0E08">
        <w:rPr>
          <w:lang w:val="fr-FR"/>
        </w:rPr>
        <w:t>(...) Quelques mois après, j</w:t>
      </w:r>
      <w:r w:rsidR="009E0E08" w:rsidRPr="009E0E08">
        <w:rPr>
          <w:lang w:val="fr-FR"/>
        </w:rPr>
        <w:t>’</w:t>
      </w:r>
      <w:r w:rsidRPr="009E0E08">
        <w:rPr>
          <w:lang w:val="fr-FR"/>
        </w:rPr>
        <w:t>ai reçu un éloge solennel (</w:t>
      </w:r>
      <w:r w:rsidRPr="009E0E08">
        <w:rPr>
          <w:i/>
          <w:lang w:val="fr-FR"/>
        </w:rPr>
        <w:t>encomio solenne</w:t>
      </w:r>
      <w:r w:rsidRPr="009E0E08">
        <w:rPr>
          <w:lang w:val="fr-FR"/>
        </w:rPr>
        <w:t>) pour mon activité au sein de la section antiterroriste de Milan (...) ».</w:t>
      </w:r>
    </w:p>
    <w:p w:rsidR="009C7C1B" w:rsidRPr="009E0E08" w:rsidRDefault="009C7C1B" w:rsidP="009E0E08">
      <w:pPr>
        <w:pStyle w:val="ECHRParaQuote"/>
        <w:rPr>
          <w:lang w:val="fr-FR"/>
        </w:rPr>
      </w:pPr>
      <w:r w:rsidRPr="009E0E08">
        <w:rPr>
          <w:lang w:val="fr-FR"/>
        </w:rPr>
        <w:t>« L</w:t>
      </w:r>
      <w:r w:rsidR="009E0E08" w:rsidRPr="009E0E08">
        <w:rPr>
          <w:lang w:val="fr-FR"/>
        </w:rPr>
        <w:t>’</w:t>
      </w:r>
      <w:r w:rsidRPr="009E0E08">
        <w:rPr>
          <w:lang w:val="fr-FR"/>
        </w:rPr>
        <w:t>ancien brigadier nous parle depuis une île perdue dans l</w:t>
      </w:r>
      <w:r w:rsidR="009E0E08" w:rsidRPr="009E0E08">
        <w:rPr>
          <w:lang w:val="fr-FR"/>
        </w:rPr>
        <w:t>’</w:t>
      </w:r>
      <w:r w:rsidRPr="009E0E08">
        <w:rPr>
          <w:lang w:val="fr-FR"/>
        </w:rPr>
        <w:t>océan. Son nom de code, du temps de la section antiterroriste de Milan, était « </w:t>
      </w:r>
      <w:r w:rsidRPr="009E0E08">
        <w:rPr>
          <w:i/>
          <w:lang w:val="fr-FR"/>
        </w:rPr>
        <w:t>Ciondolo</w:t>
      </w:r>
      <w:r w:rsidRPr="009E0E08">
        <w:rPr>
          <w:lang w:val="fr-FR"/>
        </w:rPr>
        <w:t> ». Six mois avant l</w:t>
      </w:r>
      <w:r w:rsidR="009E0E08" w:rsidRPr="009E0E08">
        <w:rPr>
          <w:lang w:val="fr-FR"/>
        </w:rPr>
        <w:t>’</w:t>
      </w:r>
      <w:r w:rsidRPr="009E0E08">
        <w:rPr>
          <w:lang w:val="fr-FR"/>
        </w:rPr>
        <w:t>assassinat de Tobagi, [D.C.] a donné à ses supérieurs directs, les capitaines [A.R.] et [U.B.], les noms et prénoms des personnes qui projetaient l</w:t>
      </w:r>
      <w:r w:rsidR="009E0E08" w:rsidRPr="009E0E08">
        <w:rPr>
          <w:lang w:val="fr-FR"/>
        </w:rPr>
        <w:t>’</w:t>
      </w:r>
      <w:r w:rsidRPr="009E0E08">
        <w:rPr>
          <w:lang w:val="fr-FR"/>
        </w:rPr>
        <w:t xml:space="preserve">action. (...) il a ressenti le devoir de raconter à </w:t>
      </w:r>
      <w:r w:rsidRPr="009E0E08">
        <w:rPr>
          <w:i/>
          <w:lang w:val="fr-FR"/>
        </w:rPr>
        <w:t>Gente</w:t>
      </w:r>
      <w:r w:rsidRPr="009E0E08">
        <w:rPr>
          <w:lang w:val="fr-FR"/>
        </w:rPr>
        <w:t xml:space="preserve"> ce qu</w:t>
      </w:r>
      <w:r w:rsidR="009E0E08" w:rsidRPr="009E0E08">
        <w:rPr>
          <w:lang w:val="fr-FR"/>
        </w:rPr>
        <w:t>’</w:t>
      </w:r>
      <w:r w:rsidRPr="009E0E08">
        <w:rPr>
          <w:lang w:val="fr-FR"/>
        </w:rPr>
        <w:t>il savait, jusqu</w:t>
      </w:r>
      <w:r w:rsidR="009E0E08" w:rsidRPr="009E0E08">
        <w:rPr>
          <w:lang w:val="fr-FR"/>
        </w:rPr>
        <w:t>’</w:t>
      </w:r>
      <w:r w:rsidRPr="009E0E08">
        <w:rPr>
          <w:lang w:val="fr-FR"/>
        </w:rPr>
        <w:t>au bout : « Je le fais par amour pour l</w:t>
      </w:r>
      <w:r w:rsidR="009E0E08" w:rsidRPr="009E0E08">
        <w:rPr>
          <w:lang w:val="fr-FR"/>
        </w:rPr>
        <w:t>’</w:t>
      </w:r>
      <w:r w:rsidRPr="009E0E08">
        <w:rPr>
          <w:i/>
          <w:lang w:val="fr-FR"/>
        </w:rPr>
        <w:t>Arma</w:t>
      </w:r>
      <w:r w:rsidRPr="009E0E08">
        <w:rPr>
          <w:lang w:val="fr-FR"/>
        </w:rPr>
        <w:t>, que j</w:t>
      </w:r>
      <w:r w:rsidR="009E0E08" w:rsidRPr="009E0E08">
        <w:rPr>
          <w:lang w:val="fr-FR"/>
        </w:rPr>
        <w:t>’</w:t>
      </w:r>
      <w:r w:rsidRPr="009E0E08">
        <w:rPr>
          <w:lang w:val="fr-FR"/>
        </w:rPr>
        <w:t>ai eu l</w:t>
      </w:r>
      <w:r w:rsidR="009E0E08" w:rsidRPr="009E0E08">
        <w:rPr>
          <w:lang w:val="fr-FR"/>
        </w:rPr>
        <w:t>’</w:t>
      </w:r>
      <w:r w:rsidRPr="009E0E08">
        <w:rPr>
          <w:lang w:val="fr-FR"/>
        </w:rPr>
        <w:t>honneur de servir, certainement pas pour de l</w:t>
      </w:r>
      <w:r w:rsidR="009E0E08" w:rsidRPr="009E0E08">
        <w:rPr>
          <w:lang w:val="fr-FR"/>
        </w:rPr>
        <w:t>’</w:t>
      </w:r>
      <w:r w:rsidRPr="009E0E08">
        <w:rPr>
          <w:lang w:val="fr-FR"/>
        </w:rPr>
        <w:t>argent ou pour me mettre en lumière. Je parle par devoir de vérité, après avoir souffert de manière injuste pendant ces années ». « </w:t>
      </w:r>
      <w:r w:rsidRPr="009E0E08">
        <w:rPr>
          <w:i/>
          <w:lang w:val="fr-FR"/>
        </w:rPr>
        <w:t>Ciondolo</w:t>
      </w:r>
      <w:r w:rsidRPr="009E0E08">
        <w:rPr>
          <w:lang w:val="fr-FR"/>
        </w:rPr>
        <w:t> » nous révèle des faits bouleversants, à ce jour inconnus, sur l</w:t>
      </w:r>
      <w:r w:rsidR="009E0E08" w:rsidRPr="009E0E08">
        <w:rPr>
          <w:lang w:val="fr-FR"/>
        </w:rPr>
        <w:t>’</w:t>
      </w:r>
      <w:r w:rsidRPr="009E0E08">
        <w:rPr>
          <w:lang w:val="fr-FR"/>
        </w:rPr>
        <w:t>affaire Tobagi : comme la dramatique confrontation avec le général [G.R.]. Il s</w:t>
      </w:r>
      <w:r w:rsidR="009E0E08" w:rsidRPr="009E0E08">
        <w:rPr>
          <w:lang w:val="fr-FR"/>
        </w:rPr>
        <w:t>’</w:t>
      </w:r>
      <w:r w:rsidRPr="009E0E08">
        <w:rPr>
          <w:lang w:val="fr-FR"/>
        </w:rPr>
        <w:t>attendait l</w:t>
      </w:r>
      <w:r w:rsidR="009E0E08" w:rsidRPr="009E0E08">
        <w:rPr>
          <w:lang w:val="fr-FR"/>
        </w:rPr>
        <w:t>’</w:t>
      </w:r>
      <w:r w:rsidRPr="009E0E08">
        <w:rPr>
          <w:lang w:val="fr-FR"/>
        </w:rPr>
        <w:t>ouverture d</w:t>
      </w:r>
      <w:r w:rsidR="009E0E08" w:rsidRPr="009E0E08">
        <w:rPr>
          <w:lang w:val="fr-FR"/>
        </w:rPr>
        <w:t>’</w:t>
      </w:r>
      <w:r w:rsidRPr="009E0E08">
        <w:rPr>
          <w:lang w:val="fr-FR"/>
        </w:rPr>
        <w:t>une enquête judiciaire : à l</w:t>
      </w:r>
      <w:r w:rsidR="009E0E08" w:rsidRPr="009E0E08">
        <w:rPr>
          <w:lang w:val="fr-FR"/>
        </w:rPr>
        <w:t>’</w:t>
      </w:r>
      <w:r w:rsidRPr="009E0E08">
        <w:rPr>
          <w:lang w:val="fr-FR"/>
        </w:rPr>
        <w:t>opposé, sur l</w:t>
      </w:r>
      <w:r w:rsidR="009E0E08" w:rsidRPr="009E0E08">
        <w:rPr>
          <w:lang w:val="fr-FR"/>
        </w:rPr>
        <w:t>’</w:t>
      </w:r>
      <w:r w:rsidRPr="009E0E08">
        <w:rPr>
          <w:lang w:val="fr-FR"/>
        </w:rPr>
        <w:t>affaire Tobagi tomba le silence.</w:t>
      </w:r>
    </w:p>
    <w:p w:rsidR="009C7C1B" w:rsidRPr="009E0E08" w:rsidRDefault="009C7C1B" w:rsidP="009E0E08">
      <w:pPr>
        <w:pStyle w:val="ECHRParaQuote"/>
        <w:rPr>
          <w:lang w:val="fr-FR"/>
        </w:rPr>
      </w:pPr>
      <w:r w:rsidRPr="009E0E08">
        <w:rPr>
          <w:lang w:val="fr-FR"/>
        </w:rPr>
        <w:t>(...) L</w:t>
      </w:r>
      <w:r w:rsidR="009E0E08" w:rsidRPr="009E0E08">
        <w:rPr>
          <w:lang w:val="fr-FR"/>
        </w:rPr>
        <w:t>’</w:t>
      </w:r>
      <w:r w:rsidRPr="009E0E08">
        <w:rPr>
          <w:lang w:val="fr-FR"/>
        </w:rPr>
        <w:t>assassinat [de Walter Tobagi] a été revendiqué par le groupe « Brigade</w:t>
      </w:r>
      <w:r w:rsidR="009E4339" w:rsidRPr="009E0E08">
        <w:rPr>
          <w:lang w:val="fr-FR"/>
        </w:rPr>
        <w:t> </w:t>
      </w:r>
      <w:r w:rsidRPr="009E0E08">
        <w:rPr>
          <w:lang w:val="fr-FR"/>
        </w:rPr>
        <w:t>28</w:t>
      </w:r>
      <w:r w:rsidR="009E4339" w:rsidRPr="009E0E08">
        <w:rPr>
          <w:lang w:val="fr-FR"/>
        </w:rPr>
        <w:t> </w:t>
      </w:r>
      <w:r w:rsidRPr="009E0E08">
        <w:rPr>
          <w:lang w:val="fr-FR"/>
        </w:rPr>
        <w:t>mars », qui comptait parmi ses membres [M.B].et [P.M.], condamnés puis rapidement libérés sur le fondement de la loi sur les « repentis » (</w:t>
      </w:r>
      <w:r w:rsidRPr="009E0E08">
        <w:rPr>
          <w:i/>
          <w:lang w:val="fr-FR"/>
        </w:rPr>
        <w:t>pentiti</w:t>
      </w:r>
      <w:r w:rsidRPr="009E0E08">
        <w:rPr>
          <w:lang w:val="fr-FR"/>
        </w:rPr>
        <w:t>) : leurs confessions ont permis l</w:t>
      </w:r>
      <w:r w:rsidR="009E0E08" w:rsidRPr="009E0E08">
        <w:rPr>
          <w:lang w:val="fr-FR"/>
        </w:rPr>
        <w:t>’</w:t>
      </w:r>
      <w:r w:rsidRPr="009E0E08">
        <w:rPr>
          <w:lang w:val="fr-FR"/>
        </w:rPr>
        <w:t>arrestation et la condamnation de plus d</w:t>
      </w:r>
      <w:r w:rsidR="009E0E08" w:rsidRPr="009E0E08">
        <w:rPr>
          <w:lang w:val="fr-FR"/>
        </w:rPr>
        <w:t>’</w:t>
      </w:r>
      <w:r w:rsidRPr="009E0E08">
        <w:rPr>
          <w:lang w:val="fr-FR"/>
        </w:rPr>
        <w:t>une centaine de terroristes.</w:t>
      </w:r>
    </w:p>
    <w:p w:rsidR="009C7C1B" w:rsidRPr="009E0E08" w:rsidRDefault="009C7C1B" w:rsidP="009E0E08">
      <w:pPr>
        <w:pStyle w:val="ECHRParaQuote"/>
        <w:rPr>
          <w:lang w:val="fr-FR"/>
        </w:rPr>
      </w:pPr>
      <w:r w:rsidRPr="009E0E08">
        <w:rPr>
          <w:lang w:val="fr-FR"/>
        </w:rPr>
        <w:t>Ce que « </w:t>
      </w:r>
      <w:r w:rsidRPr="009E0E08">
        <w:rPr>
          <w:i/>
          <w:lang w:val="fr-FR"/>
        </w:rPr>
        <w:t>Ciondolo</w:t>
      </w:r>
      <w:r w:rsidRPr="009E0E08">
        <w:rPr>
          <w:lang w:val="fr-FR"/>
        </w:rPr>
        <w:t> » nous révèle est en réalité la suite incroyable de la reconstitution des événements que l</w:t>
      </w:r>
      <w:r w:rsidR="009E0E08" w:rsidRPr="009E0E08">
        <w:rPr>
          <w:lang w:val="fr-FR"/>
        </w:rPr>
        <w:t>’</w:t>
      </w:r>
      <w:r w:rsidRPr="009E0E08">
        <w:rPr>
          <w:lang w:val="fr-FR"/>
        </w:rPr>
        <w:t xml:space="preserve">ex-capitaine des </w:t>
      </w:r>
      <w:r w:rsidRPr="009E0E08">
        <w:rPr>
          <w:i/>
          <w:lang w:val="fr-FR"/>
        </w:rPr>
        <w:t>carabinieri</w:t>
      </w:r>
      <w:r w:rsidRPr="009E0E08">
        <w:rPr>
          <w:lang w:val="fr-FR"/>
        </w:rPr>
        <w:t xml:space="preserve"> [A.] et moi-même avons décrits dans l</w:t>
      </w:r>
      <w:r w:rsidR="009E0E08" w:rsidRPr="009E0E08">
        <w:rPr>
          <w:lang w:val="fr-FR"/>
        </w:rPr>
        <w:t>’</w:t>
      </w:r>
      <w:r w:rsidRPr="009E0E08">
        <w:rPr>
          <w:lang w:val="fr-FR"/>
        </w:rPr>
        <w:t xml:space="preserve">ouvrage </w:t>
      </w:r>
      <w:r w:rsidRPr="009E0E08">
        <w:rPr>
          <w:i/>
          <w:lang w:val="fr-FR"/>
        </w:rPr>
        <w:t>Les cartes de Moro. Pourquoi Tobagi ?</w:t>
      </w:r>
      <w:r w:rsidRPr="009E0E08">
        <w:rPr>
          <w:lang w:val="fr-FR"/>
        </w:rPr>
        <w:t xml:space="preserve"> [paru en 2003]. En se fondant sur ce livre, </w:t>
      </w:r>
      <w:r w:rsidRPr="009E0E08">
        <w:rPr>
          <w:i/>
          <w:lang w:val="fr-FR"/>
        </w:rPr>
        <w:t>Rai – Educational</w:t>
      </w:r>
      <w:r w:rsidRPr="009E0E08">
        <w:rPr>
          <w:lang w:val="fr-FR"/>
        </w:rPr>
        <w:t xml:space="preserve"> [une des chaînes de la télévision publique] a réalisé une émission qui a fait beaucoup de bruit. (...)</w:t>
      </w:r>
    </w:p>
    <w:p w:rsidR="009C7C1B" w:rsidRPr="009E0E08" w:rsidRDefault="009C7C1B" w:rsidP="009E0E08">
      <w:pPr>
        <w:pStyle w:val="ECHRParaQuote"/>
        <w:rPr>
          <w:lang w:val="fr-FR"/>
        </w:rPr>
      </w:pPr>
      <w:r w:rsidRPr="009E0E08">
        <w:rPr>
          <w:lang w:val="fr-FR"/>
        </w:rPr>
        <w:t>Mais continuons dans l</w:t>
      </w:r>
      <w:r w:rsidR="009E0E08" w:rsidRPr="009E0E08">
        <w:rPr>
          <w:lang w:val="fr-FR"/>
        </w:rPr>
        <w:t>’</w:t>
      </w:r>
      <w:r w:rsidRPr="009E0E08">
        <w:rPr>
          <w:lang w:val="fr-FR"/>
        </w:rPr>
        <w:t>ordre. Nous sommes en janvier 1979, « </w:t>
      </w:r>
      <w:r w:rsidRPr="009E0E08">
        <w:rPr>
          <w:i/>
          <w:lang w:val="fr-FR"/>
        </w:rPr>
        <w:t>Ciondolo</w:t>
      </w:r>
      <w:r w:rsidRPr="009E0E08">
        <w:rPr>
          <w:lang w:val="fr-FR"/>
        </w:rPr>
        <w:t> » connaît un individu proche de la mouvance terroriste, R.R., nom de code « le Facteur », [actif dans la zone de Varèse]. Les révélations [de cet individu] ont contribué à l</w:t>
      </w:r>
      <w:r w:rsidR="009E0E08" w:rsidRPr="009E0E08">
        <w:rPr>
          <w:lang w:val="fr-FR"/>
        </w:rPr>
        <w:t>’</w:t>
      </w:r>
      <w:r w:rsidRPr="009E0E08">
        <w:rPr>
          <w:lang w:val="fr-FR"/>
        </w:rPr>
        <w:t>arrestation de plusieurs terroristes, à l</w:t>
      </w:r>
      <w:r w:rsidR="009E0E08" w:rsidRPr="009E0E08">
        <w:rPr>
          <w:lang w:val="fr-FR"/>
        </w:rPr>
        <w:t>’</w:t>
      </w:r>
      <w:r w:rsidRPr="009E0E08">
        <w:rPr>
          <w:lang w:val="fr-FR"/>
        </w:rPr>
        <w:t>identification de planques et à la saisie d</w:t>
      </w:r>
      <w:r w:rsidR="009E0E08" w:rsidRPr="009E0E08">
        <w:rPr>
          <w:lang w:val="fr-FR"/>
        </w:rPr>
        <w:t>’</w:t>
      </w:r>
      <w:r w:rsidRPr="009E0E08">
        <w:rPr>
          <w:lang w:val="fr-FR"/>
        </w:rPr>
        <w:t>armes et d</w:t>
      </w:r>
      <w:r w:rsidR="009E0E08" w:rsidRPr="009E0E08">
        <w:rPr>
          <w:lang w:val="fr-FR"/>
        </w:rPr>
        <w:t>’</w:t>
      </w:r>
      <w:r w:rsidRPr="009E0E08">
        <w:rPr>
          <w:lang w:val="fr-FR"/>
        </w:rPr>
        <w:t>explosifs.</w:t>
      </w:r>
    </w:p>
    <w:p w:rsidR="009C7C1B" w:rsidRPr="009E0E08" w:rsidRDefault="009C7C1B" w:rsidP="009E0E08">
      <w:pPr>
        <w:pStyle w:val="ECHRParaQuote"/>
        <w:rPr>
          <w:lang w:val="fr-FR"/>
        </w:rPr>
      </w:pPr>
      <w:r w:rsidRPr="009E0E08">
        <w:rPr>
          <w:lang w:val="fr-FR"/>
        </w:rPr>
        <w:t>[« </w:t>
      </w:r>
      <w:r w:rsidRPr="009E0E08">
        <w:rPr>
          <w:i/>
          <w:lang w:val="fr-FR"/>
        </w:rPr>
        <w:t>Ciondolo</w:t>
      </w:r>
      <w:r w:rsidRPr="009E0E08">
        <w:rPr>
          <w:lang w:val="fr-FR"/>
        </w:rPr>
        <w:t> »] raconte :</w:t>
      </w:r>
    </w:p>
    <w:p w:rsidR="009C7C1B" w:rsidRPr="009E0E08" w:rsidRDefault="009C7C1B" w:rsidP="009E0E08">
      <w:pPr>
        <w:pStyle w:val="ECHRParaQuote"/>
        <w:rPr>
          <w:lang w:val="fr-FR"/>
        </w:rPr>
      </w:pPr>
      <w:r w:rsidRPr="009E0E08">
        <w:rPr>
          <w:lang w:val="fr-FR"/>
        </w:rPr>
        <w:t>« Au fur et à mesure, [« le Facteur »] est devenu un informateur d</w:t>
      </w:r>
      <w:r w:rsidR="009E0E08" w:rsidRPr="009E0E08">
        <w:rPr>
          <w:lang w:val="fr-FR"/>
        </w:rPr>
        <w:t>’</w:t>
      </w:r>
      <w:r w:rsidRPr="009E0E08">
        <w:rPr>
          <w:lang w:val="fr-FR"/>
        </w:rPr>
        <w:t>une importance et d</w:t>
      </w:r>
      <w:r w:rsidR="009E0E08" w:rsidRPr="009E0E08">
        <w:rPr>
          <w:lang w:val="fr-FR"/>
        </w:rPr>
        <w:t>’</w:t>
      </w:r>
      <w:r w:rsidRPr="009E0E08">
        <w:rPr>
          <w:lang w:val="fr-FR"/>
        </w:rPr>
        <w:t>une crédibilité énormes. Puis, vers la fin de [l</w:t>
      </w:r>
      <w:r w:rsidR="009E0E08" w:rsidRPr="009E0E08">
        <w:rPr>
          <w:lang w:val="fr-FR"/>
        </w:rPr>
        <w:t>’</w:t>
      </w:r>
      <w:r w:rsidRPr="009E0E08">
        <w:rPr>
          <w:lang w:val="fr-FR"/>
        </w:rPr>
        <w:t>année] 1979, il m</w:t>
      </w:r>
      <w:r w:rsidR="009E0E08" w:rsidRPr="009E0E08">
        <w:rPr>
          <w:lang w:val="fr-FR"/>
        </w:rPr>
        <w:t>’</w:t>
      </w:r>
      <w:r w:rsidRPr="009E0E08">
        <w:rPr>
          <w:lang w:val="fr-FR"/>
        </w:rPr>
        <w:t>a dit qu</w:t>
      </w:r>
      <w:r w:rsidR="009E0E08" w:rsidRPr="009E0E08">
        <w:rPr>
          <w:lang w:val="fr-FR"/>
        </w:rPr>
        <w:t>’</w:t>
      </w:r>
      <w:r w:rsidRPr="009E0E08">
        <w:rPr>
          <w:lang w:val="fr-FR"/>
        </w:rPr>
        <w:t>un projet d</w:t>
      </w:r>
      <w:r w:rsidR="009E0E08" w:rsidRPr="009E0E08">
        <w:rPr>
          <w:lang w:val="fr-FR"/>
        </w:rPr>
        <w:t>’</w:t>
      </w:r>
      <w:r w:rsidRPr="009E0E08">
        <w:rPr>
          <w:lang w:val="fr-FR"/>
        </w:rPr>
        <w:t>assassinat de Walter Tobagi existait. Il m</w:t>
      </w:r>
      <w:r w:rsidR="009E0E08" w:rsidRPr="009E0E08">
        <w:rPr>
          <w:lang w:val="fr-FR"/>
        </w:rPr>
        <w:t>’</w:t>
      </w:r>
      <w:r w:rsidRPr="009E0E08">
        <w:rPr>
          <w:lang w:val="fr-FR"/>
        </w:rPr>
        <w:t>a aussi donné les noms des exécuteurs. Nous étions informés d</w:t>
      </w:r>
      <w:r w:rsidR="009E0E08" w:rsidRPr="009E0E08">
        <w:rPr>
          <w:lang w:val="fr-FR"/>
        </w:rPr>
        <w:t>’</w:t>
      </w:r>
      <w:r w:rsidRPr="009E0E08">
        <w:rPr>
          <w:lang w:val="fr-FR"/>
        </w:rPr>
        <w:t>un projet similaire prévu par « </w:t>
      </w:r>
      <w:r w:rsidRPr="009E0E08">
        <w:rPr>
          <w:i/>
          <w:lang w:val="fr-FR"/>
        </w:rPr>
        <w:t>Prima Linea</w:t>
      </w:r>
      <w:r w:rsidRPr="009E0E08">
        <w:rPr>
          <w:lang w:val="fr-FR"/>
        </w:rPr>
        <w:t> », mais « le Facteur » m</w:t>
      </w:r>
      <w:r w:rsidR="009E0E08" w:rsidRPr="009E0E08">
        <w:rPr>
          <w:lang w:val="fr-FR"/>
        </w:rPr>
        <w:t>’</w:t>
      </w:r>
      <w:r w:rsidRPr="009E0E08">
        <w:rPr>
          <w:lang w:val="fr-FR"/>
        </w:rPr>
        <w:t>a parlé d</w:t>
      </w:r>
      <w:r w:rsidR="009E0E08" w:rsidRPr="009E0E08">
        <w:rPr>
          <w:lang w:val="fr-FR"/>
        </w:rPr>
        <w:t>’</w:t>
      </w:r>
      <w:r w:rsidRPr="009E0E08">
        <w:rPr>
          <w:lang w:val="fr-FR"/>
        </w:rPr>
        <w:t>autres individus. Je pensais que [j</w:t>
      </w:r>
      <w:r w:rsidR="009E0E08" w:rsidRPr="009E0E08">
        <w:rPr>
          <w:lang w:val="fr-FR"/>
        </w:rPr>
        <w:t>’</w:t>
      </w:r>
      <w:r w:rsidRPr="009E0E08">
        <w:rPr>
          <w:lang w:val="fr-FR"/>
        </w:rPr>
        <w:t>allais pouvoir transmettre] ces révélations très importantes à mon chef direct, le capitaine [A.], mais il venait de démissionner de l</w:t>
      </w:r>
      <w:r w:rsidR="009E0E08" w:rsidRPr="009E0E08">
        <w:rPr>
          <w:lang w:val="fr-FR"/>
        </w:rPr>
        <w:t>’</w:t>
      </w:r>
      <w:r w:rsidRPr="009E0E08">
        <w:rPr>
          <w:i/>
          <w:lang w:val="fr-FR"/>
        </w:rPr>
        <w:t>Arma</w:t>
      </w:r>
      <w:r w:rsidRPr="009E0E08">
        <w:rPr>
          <w:lang w:val="fr-FR"/>
        </w:rPr>
        <w:t>.</w:t>
      </w:r>
    </w:p>
    <w:p w:rsidR="009C7C1B" w:rsidRPr="009E0E08" w:rsidRDefault="009C7C1B" w:rsidP="009E0E08">
      <w:pPr>
        <w:pStyle w:val="ECHRParaQuote"/>
        <w:rPr>
          <w:lang w:val="fr-FR"/>
        </w:rPr>
      </w:pPr>
      <w:r w:rsidRPr="009E0E08">
        <w:rPr>
          <w:lang w:val="fr-FR"/>
        </w:rPr>
        <w:t>J</w:t>
      </w:r>
      <w:r w:rsidR="009E0E08" w:rsidRPr="009E0E08">
        <w:rPr>
          <w:lang w:val="fr-FR"/>
        </w:rPr>
        <w:t>’</w:t>
      </w:r>
      <w:r w:rsidRPr="009E0E08">
        <w:rPr>
          <w:lang w:val="fr-FR"/>
        </w:rPr>
        <w:t>en ai parlé aux capitaines [A.R.] et [U.B.]. [Ces derniers] m</w:t>
      </w:r>
      <w:r w:rsidR="009E0E08" w:rsidRPr="009E0E08">
        <w:rPr>
          <w:lang w:val="fr-FR"/>
        </w:rPr>
        <w:t>’</w:t>
      </w:r>
      <w:r w:rsidRPr="009E0E08">
        <w:rPr>
          <w:lang w:val="fr-FR"/>
        </w:rPr>
        <w:t>ont ordonné d</w:t>
      </w:r>
      <w:r w:rsidR="009E0E08" w:rsidRPr="009E0E08">
        <w:rPr>
          <w:lang w:val="fr-FR"/>
        </w:rPr>
        <w:t>’</w:t>
      </w:r>
      <w:r w:rsidRPr="009E0E08">
        <w:rPr>
          <w:lang w:val="fr-FR"/>
        </w:rPr>
        <w:t>écrire un rapport anonyme : nous de l</w:t>
      </w:r>
      <w:r w:rsidR="009E0E08" w:rsidRPr="009E0E08">
        <w:rPr>
          <w:lang w:val="fr-FR"/>
        </w:rPr>
        <w:t>’</w:t>
      </w:r>
      <w:r w:rsidRPr="009E0E08">
        <w:rPr>
          <w:lang w:val="fr-FR"/>
        </w:rPr>
        <w:t>Antiterrorisme ne pouvions pas signer les rapports pour éviter de devoir témoigner en tribunal. Je m</w:t>
      </w:r>
      <w:r w:rsidR="009E0E08" w:rsidRPr="009E0E08">
        <w:rPr>
          <w:lang w:val="fr-FR"/>
        </w:rPr>
        <w:t>’</w:t>
      </w:r>
      <w:r w:rsidRPr="009E0E08">
        <w:rPr>
          <w:lang w:val="fr-FR"/>
        </w:rPr>
        <w:t>attendais à [devoir] intervenir d</w:t>
      </w:r>
      <w:r w:rsidR="009E0E08" w:rsidRPr="009E0E08">
        <w:rPr>
          <w:lang w:val="fr-FR"/>
        </w:rPr>
        <w:t>’</w:t>
      </w:r>
      <w:r w:rsidRPr="009E0E08">
        <w:rPr>
          <w:lang w:val="fr-FR"/>
        </w:rPr>
        <w:t>un moment à l</w:t>
      </w:r>
      <w:r w:rsidR="009E0E08" w:rsidRPr="009E0E08">
        <w:rPr>
          <w:lang w:val="fr-FR"/>
        </w:rPr>
        <w:t>’</w:t>
      </w:r>
      <w:r w:rsidRPr="009E0E08">
        <w:rPr>
          <w:lang w:val="fr-FR"/>
        </w:rPr>
        <w:t>autre. (...).</w:t>
      </w:r>
    </w:p>
    <w:p w:rsidR="009C7C1B" w:rsidRPr="009E0E08" w:rsidRDefault="009C7C1B" w:rsidP="009E0E08">
      <w:pPr>
        <w:pStyle w:val="ECHRParaQuote"/>
        <w:rPr>
          <w:lang w:val="fr-FR"/>
        </w:rPr>
      </w:pPr>
      <w:r w:rsidRPr="009E0E08">
        <w:rPr>
          <w:lang w:val="fr-FR"/>
        </w:rPr>
        <w:t>En mai 1980, le journaliste [G.P.] (...) s</w:t>
      </w:r>
      <w:r w:rsidR="009E0E08" w:rsidRPr="009E0E08">
        <w:rPr>
          <w:lang w:val="fr-FR"/>
        </w:rPr>
        <w:t>’</w:t>
      </w:r>
      <w:r w:rsidRPr="009E0E08">
        <w:rPr>
          <w:lang w:val="fr-FR"/>
        </w:rPr>
        <w:t>est fait tirer dessus. J</w:t>
      </w:r>
      <w:r w:rsidR="009E0E08" w:rsidRPr="009E0E08">
        <w:rPr>
          <w:lang w:val="fr-FR"/>
        </w:rPr>
        <w:t>’</w:t>
      </w:r>
      <w:r w:rsidRPr="009E0E08">
        <w:rPr>
          <w:lang w:val="fr-FR"/>
        </w:rPr>
        <w:t>ai cru que les hommes de l</w:t>
      </w:r>
      <w:r w:rsidR="009E0E08" w:rsidRPr="009E0E08">
        <w:rPr>
          <w:lang w:val="fr-FR"/>
        </w:rPr>
        <w:t>’</w:t>
      </w:r>
      <w:r w:rsidRPr="009E0E08">
        <w:rPr>
          <w:lang w:val="fr-FR"/>
        </w:rPr>
        <w:t>Antiterrorisme allaient [lui] demander [d</w:t>
      </w:r>
      <w:r w:rsidR="009E0E08" w:rsidRPr="009E0E08">
        <w:rPr>
          <w:lang w:val="fr-FR"/>
        </w:rPr>
        <w:t>’</w:t>
      </w:r>
      <w:r w:rsidRPr="009E0E08">
        <w:rPr>
          <w:lang w:val="fr-FR"/>
        </w:rPr>
        <w:t>établir] un portrait-robot des agresseurs, mais il n</w:t>
      </w:r>
      <w:r w:rsidR="009E0E08" w:rsidRPr="009E0E08">
        <w:rPr>
          <w:lang w:val="fr-FR"/>
        </w:rPr>
        <w:t>’</w:t>
      </w:r>
      <w:r w:rsidRPr="009E0E08">
        <w:rPr>
          <w:lang w:val="fr-FR"/>
        </w:rPr>
        <w:t>en a rien été. Ils auraient pu identifier les membres de la « Brigade</w:t>
      </w:r>
      <w:r w:rsidR="009E4339" w:rsidRPr="009E0E08">
        <w:rPr>
          <w:lang w:val="fr-FR"/>
        </w:rPr>
        <w:t> </w:t>
      </w:r>
      <w:r w:rsidRPr="009E0E08">
        <w:rPr>
          <w:lang w:val="fr-FR"/>
        </w:rPr>
        <w:t>28</w:t>
      </w:r>
      <w:r w:rsidR="009E4339" w:rsidRPr="009E0E08">
        <w:rPr>
          <w:lang w:val="fr-FR"/>
        </w:rPr>
        <w:t> </w:t>
      </w:r>
      <w:r w:rsidRPr="009E0E08">
        <w:rPr>
          <w:lang w:val="fr-FR"/>
        </w:rPr>
        <w:t>mars ».</w:t>
      </w:r>
    </w:p>
    <w:p w:rsidR="009C7C1B" w:rsidRPr="009E0E08" w:rsidRDefault="009C7C1B" w:rsidP="009E0E08">
      <w:pPr>
        <w:pStyle w:val="ECHRParaQuote"/>
        <w:rPr>
          <w:lang w:val="fr-FR"/>
        </w:rPr>
      </w:pPr>
      <w:r w:rsidRPr="009E0E08">
        <w:rPr>
          <w:lang w:val="fr-FR"/>
        </w:rPr>
        <w:t>La preuve en est que, quelques jours après, le 28 mai, (...) les terroristes ont assassiné Walter Tobagi. À l</w:t>
      </w:r>
      <w:r w:rsidR="009E0E08" w:rsidRPr="009E0E08">
        <w:rPr>
          <w:lang w:val="fr-FR"/>
        </w:rPr>
        <w:t>’</w:t>
      </w:r>
      <w:r w:rsidRPr="009E0E08">
        <w:rPr>
          <w:lang w:val="fr-FR"/>
        </w:rPr>
        <w:t>époque, je m</w:t>
      </w:r>
      <w:r w:rsidR="009E0E08" w:rsidRPr="009E0E08">
        <w:rPr>
          <w:lang w:val="fr-FR"/>
        </w:rPr>
        <w:t>’</w:t>
      </w:r>
      <w:r w:rsidRPr="009E0E08">
        <w:rPr>
          <w:lang w:val="fr-FR"/>
        </w:rPr>
        <w:t>occupais d</w:t>
      </w:r>
      <w:r w:rsidR="009E0E08" w:rsidRPr="009E0E08">
        <w:rPr>
          <w:lang w:val="fr-FR"/>
        </w:rPr>
        <w:t>’</w:t>
      </w:r>
      <w:r w:rsidRPr="009E0E08">
        <w:rPr>
          <w:lang w:val="fr-FR"/>
        </w:rPr>
        <w:t>écoutes téléphoniques ; c</w:t>
      </w:r>
      <w:r w:rsidR="009E0E08" w:rsidRPr="009E0E08">
        <w:rPr>
          <w:lang w:val="fr-FR"/>
        </w:rPr>
        <w:t>’</w:t>
      </w:r>
      <w:r w:rsidRPr="009E0E08">
        <w:rPr>
          <w:lang w:val="fr-FR"/>
        </w:rPr>
        <w:t>est donc avec grande stupeur que je me suis aperçu, seulement une semaine après les faits, qu</w:t>
      </w:r>
      <w:r w:rsidR="009E0E08" w:rsidRPr="009E0E08">
        <w:rPr>
          <w:lang w:val="fr-FR"/>
        </w:rPr>
        <w:t>’</w:t>
      </w:r>
      <w:r w:rsidRPr="009E0E08">
        <w:rPr>
          <w:lang w:val="fr-FR"/>
        </w:rPr>
        <w:t>ils avaient mis sur écoute les individus que j</w:t>
      </w:r>
      <w:r w:rsidR="009E0E08" w:rsidRPr="009E0E08">
        <w:rPr>
          <w:lang w:val="fr-FR"/>
        </w:rPr>
        <w:t>’</w:t>
      </w:r>
      <w:r w:rsidRPr="009E0E08">
        <w:rPr>
          <w:lang w:val="fr-FR"/>
        </w:rPr>
        <w:t>avais signalés six mois auparavant (...). Donc, les noms (...) n</w:t>
      </w:r>
      <w:r w:rsidR="009E0E08" w:rsidRPr="009E0E08">
        <w:rPr>
          <w:lang w:val="fr-FR"/>
        </w:rPr>
        <w:t>’</w:t>
      </w:r>
      <w:r w:rsidRPr="009E0E08">
        <w:rPr>
          <w:lang w:val="fr-FR"/>
        </w:rPr>
        <w:t>avaient pas été oubliés.</w:t>
      </w:r>
    </w:p>
    <w:p w:rsidR="009C7C1B" w:rsidRPr="009E0E08" w:rsidRDefault="009C7C1B" w:rsidP="009E0E08">
      <w:pPr>
        <w:pStyle w:val="ECHRParaQuote"/>
        <w:rPr>
          <w:lang w:val="fr-FR"/>
        </w:rPr>
      </w:pPr>
      <w:r w:rsidRPr="009E0E08">
        <w:rPr>
          <w:lang w:val="fr-FR"/>
        </w:rPr>
        <w:t>En septembre, [M.B].a été arrêté. Il a décidé de parler et a permis l</w:t>
      </w:r>
      <w:r w:rsidR="009E0E08" w:rsidRPr="009E0E08">
        <w:rPr>
          <w:lang w:val="fr-FR"/>
        </w:rPr>
        <w:t>’</w:t>
      </w:r>
      <w:r w:rsidRPr="009E0E08">
        <w:rPr>
          <w:lang w:val="fr-FR"/>
        </w:rPr>
        <w:t>arrestation de centaines de terroristes. Entretemps, j</w:t>
      </w:r>
      <w:r w:rsidR="009E0E08" w:rsidRPr="009E0E08">
        <w:rPr>
          <w:lang w:val="fr-FR"/>
        </w:rPr>
        <w:t>’</w:t>
      </w:r>
      <w:r w:rsidRPr="009E0E08">
        <w:rPr>
          <w:lang w:val="fr-FR"/>
        </w:rPr>
        <w:t>avais été transféré à la frontière avec la Suisse : « transfert de précaution », formule habile pour ne pas dire « punition ».</w:t>
      </w:r>
    </w:p>
    <w:p w:rsidR="009C7C1B" w:rsidRPr="009E0E08" w:rsidRDefault="009C7C1B" w:rsidP="009E0E08">
      <w:pPr>
        <w:pStyle w:val="ECHRParaQuote"/>
        <w:rPr>
          <w:lang w:val="fr-FR"/>
        </w:rPr>
      </w:pPr>
      <w:r w:rsidRPr="009E0E08">
        <w:rPr>
          <w:lang w:val="fr-FR"/>
        </w:rPr>
        <w:t>Trois ans après [en 1983], le procès à [M.B.] et complices désormais terminé, ma note est découverte : le ministre de l</w:t>
      </w:r>
      <w:r w:rsidR="009E0E08" w:rsidRPr="009E0E08">
        <w:rPr>
          <w:lang w:val="fr-FR"/>
        </w:rPr>
        <w:t>’</w:t>
      </w:r>
      <w:r w:rsidRPr="009E0E08">
        <w:rPr>
          <w:lang w:val="fr-FR"/>
        </w:rPr>
        <w:t>Intérieur de l</w:t>
      </w:r>
      <w:r w:rsidR="009E0E08" w:rsidRPr="009E0E08">
        <w:rPr>
          <w:lang w:val="fr-FR"/>
        </w:rPr>
        <w:t>’</w:t>
      </w:r>
      <w:r w:rsidRPr="009E0E08">
        <w:rPr>
          <w:lang w:val="fr-FR"/>
        </w:rPr>
        <w:t>époque a confirmé officiellement l</w:t>
      </w:r>
      <w:r w:rsidR="009E0E08" w:rsidRPr="009E0E08">
        <w:rPr>
          <w:lang w:val="fr-FR"/>
        </w:rPr>
        <w:t>’</w:t>
      </w:r>
      <w:r w:rsidRPr="009E0E08">
        <w:rPr>
          <w:lang w:val="fr-FR"/>
        </w:rPr>
        <w:t xml:space="preserve">existence de ma note après que des extraits de celle-ci eurent paru dans le quotidien [du parti socialiste] </w:t>
      </w:r>
      <w:r w:rsidRPr="009E0E08">
        <w:rPr>
          <w:i/>
          <w:lang w:val="fr-FR"/>
        </w:rPr>
        <w:t>L</w:t>
      </w:r>
      <w:r w:rsidR="009E0E08" w:rsidRPr="009E0E08">
        <w:rPr>
          <w:i/>
          <w:lang w:val="fr-FR"/>
        </w:rPr>
        <w:t>’</w:t>
      </w:r>
      <w:r w:rsidRPr="009E0E08">
        <w:rPr>
          <w:i/>
          <w:lang w:val="fr-FR"/>
        </w:rPr>
        <w:t>Avanti !</w:t>
      </w:r>
      <w:r w:rsidRPr="009E0E08">
        <w:rPr>
          <w:lang w:val="fr-FR"/>
        </w:rPr>
        <w:t>.</w:t>
      </w:r>
    </w:p>
    <w:p w:rsidR="009C7C1B" w:rsidRPr="009E0E08" w:rsidRDefault="009C7C1B" w:rsidP="009E0E08">
      <w:pPr>
        <w:pStyle w:val="ECHRParaQuote"/>
        <w:rPr>
          <w:lang w:val="fr-FR"/>
        </w:rPr>
      </w:pPr>
      <w:r w:rsidRPr="009E0E08">
        <w:rPr>
          <w:lang w:val="fr-FR"/>
        </w:rPr>
        <w:t>J</w:t>
      </w:r>
      <w:r w:rsidR="009E0E08" w:rsidRPr="009E0E08">
        <w:rPr>
          <w:lang w:val="fr-FR"/>
        </w:rPr>
        <w:t>’</w:t>
      </w:r>
      <w:r w:rsidRPr="009E0E08">
        <w:rPr>
          <w:lang w:val="fr-FR"/>
        </w:rPr>
        <w:t>ai été convoqué en urgence à Rome, au commandement général de l</w:t>
      </w:r>
      <w:r w:rsidR="009E0E08" w:rsidRPr="009E0E08">
        <w:rPr>
          <w:lang w:val="fr-FR"/>
        </w:rPr>
        <w:t>’</w:t>
      </w:r>
      <w:r w:rsidRPr="009E0E08">
        <w:rPr>
          <w:i/>
          <w:lang w:val="fr-FR"/>
        </w:rPr>
        <w:t>Arma</w:t>
      </w:r>
      <w:r w:rsidRPr="009E0E08">
        <w:rPr>
          <w:lang w:val="fr-FR"/>
        </w:rPr>
        <w:t>. J</w:t>
      </w:r>
      <w:r w:rsidR="009E0E08" w:rsidRPr="009E0E08">
        <w:rPr>
          <w:lang w:val="fr-FR"/>
        </w:rPr>
        <w:t>’</w:t>
      </w:r>
      <w:r w:rsidRPr="009E0E08">
        <w:rPr>
          <w:lang w:val="fr-FR"/>
        </w:rPr>
        <w:t>y ai retrouvé les capitaines [A.R.] et [U.B.]. Nous avons été reçus par le général [G.R.], qui m</w:t>
      </w:r>
      <w:r w:rsidR="009E0E08" w:rsidRPr="009E0E08">
        <w:rPr>
          <w:lang w:val="fr-FR"/>
        </w:rPr>
        <w:t>’</w:t>
      </w:r>
      <w:r w:rsidRPr="009E0E08">
        <w:rPr>
          <w:lang w:val="fr-FR"/>
        </w:rPr>
        <w:t>a demandé : « C</w:t>
      </w:r>
      <w:r w:rsidR="009E0E08" w:rsidRPr="009E0E08">
        <w:rPr>
          <w:lang w:val="fr-FR"/>
        </w:rPr>
        <w:t>’</w:t>
      </w:r>
      <w:r w:rsidRPr="009E0E08">
        <w:rPr>
          <w:lang w:val="fr-FR"/>
        </w:rPr>
        <w:t xml:space="preserve">est toi qui as donné ce document confidentiel sur Tobagi à </w:t>
      </w:r>
      <w:r w:rsidRPr="009E0E08">
        <w:rPr>
          <w:i/>
          <w:lang w:val="fr-FR"/>
        </w:rPr>
        <w:t>L</w:t>
      </w:r>
      <w:r w:rsidR="009E0E08" w:rsidRPr="009E0E08">
        <w:rPr>
          <w:i/>
          <w:lang w:val="fr-FR"/>
        </w:rPr>
        <w:t>’</w:t>
      </w:r>
      <w:r w:rsidRPr="009E0E08">
        <w:rPr>
          <w:i/>
          <w:lang w:val="fr-FR"/>
        </w:rPr>
        <w:t>Avanti !</w:t>
      </w:r>
      <w:r w:rsidRPr="009E0E08">
        <w:rPr>
          <w:lang w:val="fr-FR"/>
        </w:rPr>
        <w:t>, n</w:t>
      </w:r>
      <w:r w:rsidR="009E0E08" w:rsidRPr="009E0E08">
        <w:rPr>
          <w:lang w:val="fr-FR"/>
        </w:rPr>
        <w:t>’</w:t>
      </w:r>
      <w:r w:rsidRPr="009E0E08">
        <w:rPr>
          <w:lang w:val="fr-FR"/>
        </w:rPr>
        <w:t>est-ce pas ? », « Non, mon général ». Et puis : « Concrètement, ce rapport, tu l</w:t>
      </w:r>
      <w:r w:rsidR="009E0E08" w:rsidRPr="009E0E08">
        <w:rPr>
          <w:lang w:val="fr-FR"/>
        </w:rPr>
        <w:t>’</w:t>
      </w:r>
      <w:r w:rsidRPr="009E0E08">
        <w:rPr>
          <w:lang w:val="fr-FR"/>
        </w:rPr>
        <w:t>as transmis à qui ? ». J</w:t>
      </w:r>
      <w:r w:rsidR="009E0E08" w:rsidRPr="009E0E08">
        <w:rPr>
          <w:lang w:val="fr-FR"/>
        </w:rPr>
        <w:t>’</w:t>
      </w:r>
      <w:r w:rsidRPr="009E0E08">
        <w:rPr>
          <w:lang w:val="fr-FR"/>
        </w:rPr>
        <w:t>ai répondu : «  Aux capitaines ici présents : j</w:t>
      </w:r>
      <w:r w:rsidR="009E0E08" w:rsidRPr="009E0E08">
        <w:rPr>
          <w:lang w:val="fr-FR"/>
        </w:rPr>
        <w:t>’</w:t>
      </w:r>
      <w:r w:rsidRPr="009E0E08">
        <w:rPr>
          <w:lang w:val="fr-FR"/>
        </w:rPr>
        <w:t>ai communiqué les noms des terroristes que j</w:t>
      </w:r>
      <w:r w:rsidR="009E0E08" w:rsidRPr="009E0E08">
        <w:rPr>
          <w:lang w:val="fr-FR"/>
        </w:rPr>
        <w:t>’</w:t>
      </w:r>
      <w:r w:rsidRPr="009E0E08">
        <w:rPr>
          <w:lang w:val="fr-FR"/>
        </w:rPr>
        <w:t>avais mentionnés dans mes notes réservées ». Le général m</w:t>
      </w:r>
      <w:r w:rsidR="009E0E08" w:rsidRPr="009E0E08">
        <w:rPr>
          <w:lang w:val="fr-FR"/>
        </w:rPr>
        <w:t>’</w:t>
      </w:r>
      <w:r w:rsidRPr="009E0E08">
        <w:rPr>
          <w:lang w:val="fr-FR"/>
        </w:rPr>
        <w:t>a ordonné de maintenir le secret sur cette rencontre. »</w:t>
      </w:r>
    </w:p>
    <w:p w:rsidR="009C7C1B" w:rsidRPr="009E0E08" w:rsidRDefault="009C7C1B" w:rsidP="009E0E08">
      <w:pPr>
        <w:pStyle w:val="ECHRParaQuote"/>
        <w:rPr>
          <w:lang w:val="fr-FR"/>
        </w:rPr>
      </w:pPr>
      <w:r w:rsidRPr="009E0E08">
        <w:rPr>
          <w:lang w:val="fr-FR"/>
        </w:rPr>
        <w:t xml:space="preserve">À ce stade, </w:t>
      </w:r>
      <w:r w:rsidRPr="009E0E08">
        <w:rPr>
          <w:i/>
          <w:lang w:val="fr-FR"/>
        </w:rPr>
        <w:t>Gente</w:t>
      </w:r>
      <w:r w:rsidRPr="009E0E08">
        <w:rPr>
          <w:lang w:val="fr-FR"/>
        </w:rPr>
        <w:t xml:space="preserve"> a pris contact avec le général [N.B.]. Nous lui avons montré les déclarations de « </w:t>
      </w:r>
      <w:r w:rsidRPr="009E0E08">
        <w:rPr>
          <w:i/>
          <w:lang w:val="fr-FR"/>
        </w:rPr>
        <w:t>Ciondolo</w:t>
      </w:r>
      <w:r w:rsidRPr="009E0E08">
        <w:rPr>
          <w:lang w:val="fr-FR"/>
        </w:rPr>
        <w:t> ». [Le général] n</w:t>
      </w:r>
      <w:r w:rsidR="009E0E08" w:rsidRPr="009E0E08">
        <w:rPr>
          <w:lang w:val="fr-FR"/>
        </w:rPr>
        <w:t>’</w:t>
      </w:r>
      <w:r w:rsidRPr="009E0E08">
        <w:rPr>
          <w:lang w:val="fr-FR"/>
        </w:rPr>
        <w:t>a pas été surpris.</w:t>
      </w:r>
    </w:p>
    <w:p w:rsidR="009C7C1B" w:rsidRPr="009E0E08" w:rsidRDefault="009C7C1B" w:rsidP="009E0E08">
      <w:pPr>
        <w:pStyle w:val="ECHRParaQuote"/>
        <w:rPr>
          <w:lang w:val="fr-FR"/>
        </w:rPr>
      </w:pPr>
      <w:r w:rsidRPr="009E0E08">
        <w:rPr>
          <w:lang w:val="fr-FR"/>
        </w:rPr>
        <w:t>« J</w:t>
      </w:r>
      <w:r w:rsidR="009E0E08" w:rsidRPr="009E0E08">
        <w:rPr>
          <w:lang w:val="fr-FR"/>
        </w:rPr>
        <w:t>’</w:t>
      </w:r>
      <w:r w:rsidRPr="009E0E08">
        <w:rPr>
          <w:lang w:val="fr-FR"/>
        </w:rPr>
        <w:t>ai dit clairement au général Dalla Chiesa, au début de [l</w:t>
      </w:r>
      <w:r w:rsidR="009E0E08" w:rsidRPr="009E0E08">
        <w:rPr>
          <w:lang w:val="fr-FR"/>
        </w:rPr>
        <w:t>’</w:t>
      </w:r>
      <w:r w:rsidRPr="009E0E08">
        <w:rPr>
          <w:lang w:val="fr-FR"/>
        </w:rPr>
        <w:t>année] 1980, que nous avions été exclus du circuit de transmission des rapports de [la section] antiterroriste de Milan. Je m</w:t>
      </w:r>
      <w:r w:rsidR="009E0E08" w:rsidRPr="009E0E08">
        <w:rPr>
          <w:lang w:val="fr-FR"/>
        </w:rPr>
        <w:t>’</w:t>
      </w:r>
      <w:r w:rsidRPr="009E0E08">
        <w:rPr>
          <w:lang w:val="fr-FR"/>
        </w:rPr>
        <w:t>étais aperçu que désormais les capitaines [A.R.] et [U.B.] répondaient uniquement aux colonels [M.] et [P.] (ces derniers appartenaient à la loge « P2 »).</w:t>
      </w:r>
    </w:p>
    <w:p w:rsidR="009C7C1B" w:rsidRPr="009E0E08" w:rsidRDefault="009C7C1B" w:rsidP="009E0E08">
      <w:pPr>
        <w:pStyle w:val="ECHRParaQuote"/>
        <w:rPr>
          <w:lang w:val="fr-FR"/>
        </w:rPr>
      </w:pPr>
      <w:r w:rsidRPr="009E0E08">
        <w:rPr>
          <w:lang w:val="fr-FR"/>
        </w:rPr>
        <w:t>C</w:t>
      </w:r>
      <w:r w:rsidR="009E0E08" w:rsidRPr="009E0E08">
        <w:rPr>
          <w:lang w:val="fr-FR"/>
        </w:rPr>
        <w:t>’</w:t>
      </w:r>
      <w:r w:rsidRPr="009E0E08">
        <w:rPr>
          <w:lang w:val="fr-FR"/>
        </w:rPr>
        <w:t>était clair, [M.] et [P.] opéraient avec l</w:t>
      </w:r>
      <w:r w:rsidR="009E0E08" w:rsidRPr="009E0E08">
        <w:rPr>
          <w:lang w:val="fr-FR"/>
        </w:rPr>
        <w:t>’</w:t>
      </w:r>
      <w:r w:rsidRPr="009E0E08">
        <w:rPr>
          <w:lang w:val="fr-FR"/>
        </w:rPr>
        <w:t>accord du commandement territorial et avec l</w:t>
      </w:r>
      <w:r w:rsidR="009E0E08" w:rsidRPr="009E0E08">
        <w:rPr>
          <w:lang w:val="fr-FR"/>
        </w:rPr>
        <w:t>’</w:t>
      </w:r>
      <w:r w:rsidRPr="009E0E08">
        <w:rPr>
          <w:lang w:val="fr-FR"/>
        </w:rPr>
        <w:t>aval du commandement général de Rome.</w:t>
      </w:r>
    </w:p>
    <w:p w:rsidR="009C7C1B" w:rsidRPr="009E0E08" w:rsidRDefault="009C7C1B" w:rsidP="009E0E08">
      <w:pPr>
        <w:pStyle w:val="ECHRParaQuote"/>
        <w:rPr>
          <w:lang w:val="fr-FR"/>
        </w:rPr>
      </w:pPr>
      <w:r w:rsidRPr="009E0E08">
        <w:rPr>
          <w:lang w:val="fr-FR"/>
        </w:rPr>
        <w:t>Dalla Chiesa a répondu avec amertume : «  Les politiques, le ministre [R.] en tête, m</w:t>
      </w:r>
      <w:r w:rsidR="009E0E08" w:rsidRPr="009E0E08">
        <w:rPr>
          <w:lang w:val="fr-FR"/>
        </w:rPr>
        <w:t>’</w:t>
      </w:r>
      <w:r w:rsidRPr="009E0E08">
        <w:rPr>
          <w:lang w:val="fr-FR"/>
        </w:rPr>
        <w:t>ont nommé à la direction (...) La chose n</w:t>
      </w:r>
      <w:r w:rsidR="009E0E08" w:rsidRPr="009E0E08">
        <w:rPr>
          <w:lang w:val="fr-FR"/>
        </w:rPr>
        <w:t>’</w:t>
      </w:r>
      <w:r w:rsidRPr="009E0E08">
        <w:rPr>
          <w:lang w:val="fr-FR"/>
        </w:rPr>
        <w:t>a pas plu au commandement général (...). Nous sommes dans un étau : à Milan, ils veulent diriger l</w:t>
      </w:r>
      <w:r w:rsidR="009E0E08" w:rsidRPr="009E0E08">
        <w:rPr>
          <w:lang w:val="fr-FR"/>
        </w:rPr>
        <w:t>’</w:t>
      </w:r>
      <w:r w:rsidRPr="009E0E08">
        <w:rPr>
          <w:lang w:val="fr-FR"/>
        </w:rPr>
        <w:t>antiterrorisme avec les forces locales, c</w:t>
      </w:r>
      <w:r w:rsidR="009E0E08" w:rsidRPr="009E0E08">
        <w:rPr>
          <w:lang w:val="fr-FR"/>
        </w:rPr>
        <w:t>’</w:t>
      </w:r>
      <w:r w:rsidRPr="009E0E08">
        <w:rPr>
          <w:lang w:val="fr-FR"/>
        </w:rPr>
        <w:t>est-à-dire avec des officiers qu</w:t>
      </w:r>
      <w:r w:rsidR="009E0E08" w:rsidRPr="009E0E08">
        <w:rPr>
          <w:lang w:val="fr-FR"/>
        </w:rPr>
        <w:t>’</w:t>
      </w:r>
      <w:r w:rsidRPr="009E0E08">
        <w:rPr>
          <w:lang w:val="fr-FR"/>
        </w:rPr>
        <w:t>ils considèrent comme plus dignes de confiance que nous. Mes mains sont liées. J</w:t>
      </w:r>
      <w:r w:rsidR="009E0E08" w:rsidRPr="009E0E08">
        <w:rPr>
          <w:lang w:val="fr-FR"/>
        </w:rPr>
        <w:t>’</w:t>
      </w:r>
      <w:r w:rsidRPr="009E0E08">
        <w:rPr>
          <w:lang w:val="fr-FR"/>
        </w:rPr>
        <w:t>ai les politiques de mon côté, mais j</w:t>
      </w:r>
      <w:r w:rsidR="009E0E08" w:rsidRPr="009E0E08">
        <w:rPr>
          <w:lang w:val="fr-FR"/>
        </w:rPr>
        <w:t>’</w:t>
      </w:r>
      <w:r w:rsidRPr="009E0E08">
        <w:rPr>
          <w:lang w:val="fr-FR"/>
        </w:rPr>
        <w:t>ai contre moi beaucoup de monde dans l</w:t>
      </w:r>
      <w:r w:rsidR="009E0E08" w:rsidRPr="009E0E08">
        <w:rPr>
          <w:lang w:val="fr-FR"/>
        </w:rPr>
        <w:t>’</w:t>
      </w:r>
      <w:r w:rsidRPr="009E0E08">
        <w:rPr>
          <w:i/>
          <w:lang w:val="fr-FR"/>
        </w:rPr>
        <w:t>Arma</w:t>
      </w:r>
      <w:r w:rsidRPr="009E0E08">
        <w:rPr>
          <w:lang w:val="fr-FR"/>
        </w:rPr>
        <w:t>. Cher [N.B.], fais ton rapport si tu estimes cela opportun ». Je l</w:t>
      </w:r>
      <w:r w:rsidR="009E0E08" w:rsidRPr="009E0E08">
        <w:rPr>
          <w:lang w:val="fr-FR"/>
        </w:rPr>
        <w:t>’</w:t>
      </w:r>
      <w:r w:rsidRPr="009E0E08">
        <w:rPr>
          <w:lang w:val="fr-FR"/>
        </w:rPr>
        <w:t>ai fait, j</w:t>
      </w:r>
      <w:r w:rsidR="009E0E08" w:rsidRPr="009E0E08">
        <w:rPr>
          <w:lang w:val="fr-FR"/>
        </w:rPr>
        <w:t>’</w:t>
      </w:r>
      <w:r w:rsidRPr="009E0E08">
        <w:rPr>
          <w:lang w:val="fr-FR"/>
        </w:rPr>
        <w:t>ai dénoncé les officiers qui étaient soupçonnés d</w:t>
      </w:r>
      <w:r w:rsidR="009E0E08" w:rsidRPr="009E0E08">
        <w:rPr>
          <w:lang w:val="fr-FR"/>
        </w:rPr>
        <w:t>’</w:t>
      </w:r>
      <w:r w:rsidRPr="009E0E08">
        <w:rPr>
          <w:lang w:val="fr-FR"/>
        </w:rPr>
        <w:t>appartenir à la loge P2.</w:t>
      </w:r>
    </w:p>
    <w:p w:rsidR="009C7C1B" w:rsidRPr="009E0E08" w:rsidRDefault="009C7C1B" w:rsidP="009E0E08">
      <w:pPr>
        <w:pStyle w:val="ECHRParaQuote"/>
        <w:rPr>
          <w:lang w:val="fr-FR"/>
        </w:rPr>
      </w:pPr>
      <w:r w:rsidRPr="009E0E08">
        <w:rPr>
          <w:lang w:val="fr-FR"/>
        </w:rPr>
        <w:t>Depuis, ma carrière a été bloquée. J</w:t>
      </w:r>
      <w:r w:rsidR="009E0E08" w:rsidRPr="009E0E08">
        <w:rPr>
          <w:lang w:val="fr-FR"/>
        </w:rPr>
        <w:t>’</w:t>
      </w:r>
      <w:r w:rsidRPr="009E0E08">
        <w:rPr>
          <w:lang w:val="fr-FR"/>
        </w:rPr>
        <w:t>ai été puni et transféré (...) En 1992, j</w:t>
      </w:r>
      <w:r w:rsidR="009E0E08" w:rsidRPr="009E0E08">
        <w:rPr>
          <w:lang w:val="fr-FR"/>
        </w:rPr>
        <w:t>’</w:t>
      </w:r>
      <w:r w:rsidRPr="009E0E08">
        <w:rPr>
          <w:lang w:val="fr-FR"/>
        </w:rPr>
        <w:t>ai appris (...) qui était l</w:t>
      </w:r>
      <w:r w:rsidR="009E0E08" w:rsidRPr="009E0E08">
        <w:rPr>
          <w:lang w:val="fr-FR"/>
        </w:rPr>
        <w:t>’</w:t>
      </w:r>
      <w:r w:rsidRPr="009E0E08">
        <w:rPr>
          <w:lang w:val="fr-FR"/>
        </w:rPr>
        <w:t>auteur du rapport [qui avait été rédigé] contre moi : le général [G.R.]. ».</w:t>
      </w:r>
    </w:p>
    <w:p w:rsidR="009C7C1B" w:rsidRPr="009E0E08" w:rsidRDefault="009C7C1B" w:rsidP="009E0E08">
      <w:pPr>
        <w:pStyle w:val="ECHRParaQuote"/>
        <w:rPr>
          <w:lang w:val="fr-FR"/>
        </w:rPr>
      </w:pPr>
      <w:r w:rsidRPr="009E0E08">
        <w:rPr>
          <w:lang w:val="fr-FR"/>
        </w:rPr>
        <w:t>Le même qui avait ordonné à [D.C.] de se taire sur l</w:t>
      </w:r>
      <w:r w:rsidR="009E0E08" w:rsidRPr="009E0E08">
        <w:rPr>
          <w:lang w:val="fr-FR"/>
        </w:rPr>
        <w:t>’</w:t>
      </w:r>
      <w:r w:rsidRPr="009E0E08">
        <w:rPr>
          <w:lang w:val="fr-FR"/>
        </w:rPr>
        <w:t>affaire Tobagi. »</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13</w:t>
      </w:r>
      <w:r w:rsidRPr="009E0E08">
        <w:rPr>
          <w:lang w:val="fr-FR"/>
        </w:rPr>
        <w:fldChar w:fldCharType="end"/>
      </w:r>
      <w:r w:rsidRPr="009E0E08">
        <w:rPr>
          <w:lang w:val="fr-FR"/>
        </w:rPr>
        <w:t>.  À une date non précisée, le capitaine A.R. et la sœur d</w:t>
      </w:r>
      <w:r w:rsidR="009E0E08" w:rsidRPr="009E0E08">
        <w:rPr>
          <w:lang w:val="fr-FR"/>
        </w:rPr>
        <w:t>’</w:t>
      </w:r>
      <w:r w:rsidRPr="009E0E08">
        <w:rPr>
          <w:lang w:val="fr-FR"/>
        </w:rPr>
        <w:t>U.B., ce dernier étant décédé en 2002, déposèrent une plainte contre D.C. et les deux requérants.</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14</w:t>
      </w:r>
      <w:r w:rsidRPr="009E0E08">
        <w:rPr>
          <w:lang w:val="fr-FR"/>
        </w:rPr>
        <w:fldChar w:fldCharType="end"/>
      </w:r>
      <w:r w:rsidRPr="009E0E08">
        <w:rPr>
          <w:lang w:val="fr-FR"/>
        </w:rPr>
        <w:t>.  Le 22 mars 2006, le juge des investigations préliminaires renvoya les requérants devant le tribunal de Monza du chef de diffamation par voie de presse (</w:t>
      </w:r>
      <w:r w:rsidRPr="009E0E08">
        <w:rPr>
          <w:i/>
          <w:lang w:val="fr-FR"/>
        </w:rPr>
        <w:t>diffamazione a mezzo stampa</w:t>
      </w:r>
      <w:r w:rsidRPr="009E0E08">
        <w:rPr>
          <w:lang w:val="fr-FR"/>
        </w:rPr>
        <w:t>), aggravée par l</w:t>
      </w:r>
      <w:r w:rsidR="009E0E08" w:rsidRPr="009E0E08">
        <w:rPr>
          <w:lang w:val="fr-FR"/>
        </w:rPr>
        <w:t>’</w:t>
      </w:r>
      <w:r w:rsidRPr="009E0E08">
        <w:rPr>
          <w:lang w:val="fr-FR"/>
        </w:rPr>
        <w:t>attribution de faits déterminés.</w:t>
      </w:r>
    </w:p>
    <w:bookmarkStart w:id="5" w:name="TRIBUNAL_DC"/>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15</w:t>
      </w:r>
      <w:r w:rsidRPr="009E0E08">
        <w:rPr>
          <w:lang w:val="fr-FR"/>
        </w:rPr>
        <w:fldChar w:fldCharType="end"/>
      </w:r>
      <w:bookmarkEnd w:id="5"/>
      <w:r w:rsidRPr="009E0E08">
        <w:rPr>
          <w:lang w:val="fr-FR"/>
        </w:rPr>
        <w:t>.  Quant à D.C., il fit l</w:t>
      </w:r>
      <w:r w:rsidR="009E0E08" w:rsidRPr="009E0E08">
        <w:rPr>
          <w:lang w:val="fr-FR"/>
        </w:rPr>
        <w:t>’</w:t>
      </w:r>
      <w:r w:rsidRPr="009E0E08">
        <w:rPr>
          <w:lang w:val="fr-FR"/>
        </w:rPr>
        <w:t>objet de l</w:t>
      </w:r>
      <w:r w:rsidR="009E0E08" w:rsidRPr="009E0E08">
        <w:rPr>
          <w:lang w:val="fr-FR"/>
        </w:rPr>
        <w:t>’</w:t>
      </w:r>
      <w:r w:rsidRPr="009E0E08">
        <w:rPr>
          <w:lang w:val="fr-FR"/>
        </w:rPr>
        <w:t>ouverture d</w:t>
      </w:r>
      <w:r w:rsidR="009E0E08" w:rsidRPr="009E0E08">
        <w:rPr>
          <w:lang w:val="fr-FR"/>
        </w:rPr>
        <w:t>’</w:t>
      </w:r>
      <w:r w:rsidRPr="009E0E08">
        <w:rPr>
          <w:lang w:val="fr-FR"/>
        </w:rPr>
        <w:t>une procédure pénale distincte, et il fut condamné, par un jugement rendu le 22 septembre 2008 par le tribunal de Monza, à payer une amende de 1 000 euros (EUR) et à réparer le préjudice moral subi par A.R. et la sœur d</w:t>
      </w:r>
      <w:r w:rsidR="009E0E08" w:rsidRPr="009E0E08">
        <w:rPr>
          <w:lang w:val="fr-FR"/>
        </w:rPr>
        <w:t>’</w:t>
      </w:r>
      <w:r w:rsidRPr="009E0E08">
        <w:rPr>
          <w:lang w:val="fr-FR"/>
        </w:rPr>
        <w:t>U.B.</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16</w:t>
      </w:r>
      <w:r w:rsidRPr="009E0E08">
        <w:rPr>
          <w:lang w:val="fr-FR"/>
        </w:rPr>
        <w:fldChar w:fldCharType="end"/>
      </w:r>
      <w:r w:rsidRPr="009E0E08">
        <w:rPr>
          <w:lang w:val="fr-FR"/>
        </w:rPr>
        <w:t>.  Par un jugement du 20 septembre 2007 (déposé le 18 décembre 2007), le tribunal de Monza déclara les requérants coupables de diffamation et leur infligea une amende, d</w:t>
      </w:r>
      <w:r w:rsidR="009E0E08" w:rsidRPr="009E0E08">
        <w:rPr>
          <w:lang w:val="fr-FR"/>
        </w:rPr>
        <w:t>’</w:t>
      </w:r>
      <w:r w:rsidRPr="009E0E08">
        <w:rPr>
          <w:lang w:val="fr-FR"/>
        </w:rPr>
        <w:t>un montant de 1 000 EUR pour le premier requérant et de 300 EUR pour le deuxième requérant. Il condamna conjointement les intéressés au règlement des frais de procédure et ordonna la publication d</w:t>
      </w:r>
      <w:r w:rsidR="009E0E08" w:rsidRPr="009E0E08">
        <w:rPr>
          <w:lang w:val="fr-FR"/>
        </w:rPr>
        <w:t>’</w:t>
      </w:r>
      <w:r w:rsidRPr="009E0E08">
        <w:rPr>
          <w:lang w:val="fr-FR"/>
        </w:rPr>
        <w:t>un extrait du jugement dans l</w:t>
      </w:r>
      <w:r w:rsidR="009E0E08" w:rsidRPr="009E0E08">
        <w:rPr>
          <w:lang w:val="fr-FR"/>
        </w:rPr>
        <w:t>’</w:t>
      </w:r>
      <w:r w:rsidRPr="009E0E08">
        <w:rPr>
          <w:lang w:val="fr-FR"/>
        </w:rPr>
        <w:t xml:space="preserve">hebdomadaire </w:t>
      </w:r>
      <w:r w:rsidRPr="009E0E08">
        <w:rPr>
          <w:i/>
          <w:lang w:val="fr-FR"/>
        </w:rPr>
        <w:t>Gente</w:t>
      </w:r>
      <w:r w:rsidRPr="009E0E08">
        <w:rPr>
          <w:lang w:val="fr-FR"/>
        </w:rPr>
        <w:t xml:space="preserve"> et dans le quotidien </w:t>
      </w:r>
      <w:r w:rsidRPr="009E0E08">
        <w:rPr>
          <w:i/>
          <w:lang w:val="fr-FR"/>
        </w:rPr>
        <w:t>Corriere della Sera</w:t>
      </w:r>
      <w:r w:rsidRPr="009E0E08">
        <w:rPr>
          <w:lang w:val="fr-FR"/>
        </w:rPr>
        <w:t>. Les requérants furent également condamnés à verser 120 000 EUR au capitaine A.R. et 90 000 EUR à la sœur d</w:t>
      </w:r>
      <w:r w:rsidR="009E0E08" w:rsidRPr="009E0E08">
        <w:rPr>
          <w:lang w:val="fr-FR"/>
        </w:rPr>
        <w:t>’</w:t>
      </w:r>
      <w:r w:rsidRPr="009E0E08">
        <w:rPr>
          <w:lang w:val="fr-FR"/>
        </w:rPr>
        <w:t>U.B., pour dommage moral, ainsi qu</w:t>
      </w:r>
      <w:r w:rsidR="009E0E08" w:rsidRPr="009E0E08">
        <w:rPr>
          <w:lang w:val="fr-FR"/>
        </w:rPr>
        <w:t>’</w:t>
      </w:r>
      <w:r w:rsidRPr="009E0E08">
        <w:rPr>
          <w:lang w:val="fr-FR"/>
        </w:rPr>
        <w:t>à régler 20 000 EUR au titre des frais de procédure engagés par ces derniers.</w:t>
      </w:r>
    </w:p>
    <w:bookmarkStart w:id="6" w:name="TGI_MONZA"/>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17</w:t>
      </w:r>
      <w:r w:rsidRPr="009E0E08">
        <w:rPr>
          <w:lang w:val="fr-FR"/>
        </w:rPr>
        <w:fldChar w:fldCharType="end"/>
      </w:r>
      <w:bookmarkEnd w:id="6"/>
      <w:r w:rsidRPr="009E0E08">
        <w:rPr>
          <w:lang w:val="fr-FR"/>
        </w:rPr>
        <w:t>.  Le tribunal de Monza motiva sa décision comme suit :</w:t>
      </w:r>
    </w:p>
    <w:p w:rsidR="009C7C1B" w:rsidRPr="009E0E08" w:rsidRDefault="009C7C1B" w:rsidP="009E0E08">
      <w:pPr>
        <w:pStyle w:val="ECHRParaQuote"/>
        <w:rPr>
          <w:lang w:val="fr-FR"/>
        </w:rPr>
      </w:pPr>
      <w:r w:rsidRPr="009E0E08">
        <w:rPr>
          <w:lang w:val="fr-FR"/>
        </w:rPr>
        <w:t>« (...) La gravité des infractions ne fait aucun doute et la portée diffamatoire de l</w:t>
      </w:r>
      <w:r w:rsidR="009E0E08" w:rsidRPr="009E0E08">
        <w:rPr>
          <w:lang w:val="fr-FR"/>
        </w:rPr>
        <w:t>’</w:t>
      </w:r>
      <w:r w:rsidRPr="009E0E08">
        <w:rPr>
          <w:lang w:val="fr-FR"/>
        </w:rPr>
        <w:t xml:space="preserve">article est particulièrement grave compte tenu du rôle des deux officiers des </w:t>
      </w:r>
      <w:r w:rsidRPr="009E0E08">
        <w:rPr>
          <w:i/>
          <w:lang w:val="fr-FR"/>
        </w:rPr>
        <w:t>carabinieri</w:t>
      </w:r>
      <w:r w:rsidRPr="009E0E08">
        <w:rPr>
          <w:lang w:val="fr-FR"/>
        </w:rPr>
        <w:t>, serviteurs de l</w:t>
      </w:r>
      <w:r w:rsidR="009E0E08" w:rsidRPr="009E0E08">
        <w:rPr>
          <w:lang w:val="fr-FR"/>
        </w:rPr>
        <w:t>’</w:t>
      </w:r>
      <w:r w:rsidRPr="009E0E08">
        <w:rPr>
          <w:lang w:val="fr-FR"/>
        </w:rPr>
        <w:t>État dont l</w:t>
      </w:r>
      <w:r w:rsidR="009E0E08" w:rsidRPr="009E0E08">
        <w:rPr>
          <w:lang w:val="fr-FR"/>
        </w:rPr>
        <w:t>’</w:t>
      </w:r>
      <w:r w:rsidRPr="009E0E08">
        <w:rPr>
          <w:lang w:val="fr-FR"/>
        </w:rPr>
        <w:t>honnêteté et la moralité représentent des valeurs fondamentales.</w:t>
      </w:r>
    </w:p>
    <w:p w:rsidR="009C7C1B" w:rsidRPr="009E0E08" w:rsidRDefault="009C7C1B" w:rsidP="009E0E08">
      <w:pPr>
        <w:pStyle w:val="ECHRParaQuote"/>
        <w:rPr>
          <w:lang w:val="fr-FR"/>
        </w:rPr>
      </w:pPr>
      <w:r w:rsidRPr="009E0E08">
        <w:rPr>
          <w:lang w:val="fr-FR"/>
        </w:rPr>
        <w:t>En l</w:t>
      </w:r>
      <w:r w:rsidR="009E0E08" w:rsidRPr="009E0E08">
        <w:rPr>
          <w:lang w:val="fr-FR"/>
        </w:rPr>
        <w:t>’</w:t>
      </w:r>
      <w:r w:rsidRPr="009E0E08">
        <w:rPr>
          <w:lang w:val="fr-FR"/>
        </w:rPr>
        <w:t>espèce, on ne saurait invoquer comme circonstance atténuante l</w:t>
      </w:r>
      <w:r w:rsidR="009E0E08" w:rsidRPr="009E0E08">
        <w:rPr>
          <w:lang w:val="fr-FR"/>
        </w:rPr>
        <w:t>’</w:t>
      </w:r>
      <w:r w:rsidRPr="009E0E08">
        <w:rPr>
          <w:lang w:val="fr-FR"/>
        </w:rPr>
        <w:t>exercice du droit de chronique. (...) En particulier, les faits présentés : doivent avoir un intérêt objectif pour l</w:t>
      </w:r>
      <w:r w:rsidR="009E0E08" w:rsidRPr="009E0E08">
        <w:rPr>
          <w:lang w:val="fr-FR"/>
        </w:rPr>
        <w:t>’</w:t>
      </w:r>
      <w:r w:rsidRPr="009E0E08">
        <w:rPr>
          <w:lang w:val="fr-FR"/>
        </w:rPr>
        <w:t>opinion publique (</w:t>
      </w:r>
      <w:r w:rsidRPr="009E0E08">
        <w:rPr>
          <w:i/>
          <w:lang w:val="fr-FR"/>
        </w:rPr>
        <w:t>principio della pertinenza</w:t>
      </w:r>
      <w:r w:rsidRPr="009E0E08">
        <w:rPr>
          <w:lang w:val="fr-FR"/>
        </w:rPr>
        <w:t>), doivent être exposés de manière correcte et objective (</w:t>
      </w:r>
      <w:r w:rsidRPr="009E0E08">
        <w:rPr>
          <w:i/>
          <w:lang w:val="fr-FR"/>
        </w:rPr>
        <w:t>principio della continenza</w:t>
      </w:r>
      <w:r w:rsidRPr="009E0E08">
        <w:rPr>
          <w:lang w:val="fr-FR"/>
        </w:rPr>
        <w:t>) et, surtout, doivent être vrais, c</w:t>
      </w:r>
      <w:r w:rsidR="009E0E08" w:rsidRPr="009E0E08">
        <w:rPr>
          <w:lang w:val="fr-FR"/>
        </w:rPr>
        <w:t>’</w:t>
      </w:r>
      <w:r w:rsidRPr="009E0E08">
        <w:rPr>
          <w:lang w:val="fr-FR"/>
        </w:rPr>
        <w:t>est-à-dire rigoureusement correspondants à des faits réels (</w:t>
      </w:r>
      <w:r w:rsidRPr="009E0E08">
        <w:rPr>
          <w:i/>
          <w:lang w:val="fr-FR"/>
        </w:rPr>
        <w:t>principio della verità</w:t>
      </w:r>
      <w:r w:rsidRPr="009E0E08">
        <w:rPr>
          <w:lang w:val="fr-FR"/>
        </w:rPr>
        <w:t>).</w:t>
      </w:r>
    </w:p>
    <w:p w:rsidR="009C7C1B" w:rsidRPr="009E0E08" w:rsidRDefault="009C7C1B" w:rsidP="009E0E08">
      <w:pPr>
        <w:pStyle w:val="ECHRParaQuote"/>
        <w:rPr>
          <w:lang w:val="fr-FR"/>
        </w:rPr>
      </w:pPr>
      <w:r w:rsidRPr="009E0E08">
        <w:rPr>
          <w:lang w:val="fr-FR"/>
        </w:rPr>
        <w:t>Quant au principe de contenance (</w:t>
      </w:r>
      <w:r w:rsidRPr="009E0E08">
        <w:rPr>
          <w:i/>
          <w:lang w:val="fr-FR"/>
        </w:rPr>
        <w:t>principio della continenza</w:t>
      </w:r>
      <w:r w:rsidRPr="009E0E08">
        <w:rPr>
          <w:lang w:val="fr-FR"/>
        </w:rPr>
        <w:t>) (...), en l</w:t>
      </w:r>
      <w:r w:rsidR="009E0E08" w:rsidRPr="009E0E08">
        <w:rPr>
          <w:lang w:val="fr-FR"/>
        </w:rPr>
        <w:t>’</w:t>
      </w:r>
      <w:r w:rsidRPr="009E0E08">
        <w:rPr>
          <w:lang w:val="fr-FR"/>
        </w:rPr>
        <w:t>espèce, le caractère volontairement « sensationnel » (</w:t>
      </w:r>
      <w:r w:rsidRPr="009E0E08">
        <w:rPr>
          <w:i/>
          <w:lang w:val="fr-FR"/>
        </w:rPr>
        <w:t>scandalistico</w:t>
      </w:r>
      <w:r w:rsidRPr="009E0E08">
        <w:rPr>
          <w:lang w:val="fr-FR"/>
        </w:rPr>
        <w:t>) de l</w:t>
      </w:r>
      <w:r w:rsidR="009E0E08" w:rsidRPr="009E0E08">
        <w:rPr>
          <w:lang w:val="fr-FR"/>
        </w:rPr>
        <w:t>’</w:t>
      </w:r>
      <w:r w:rsidRPr="009E0E08">
        <w:rPr>
          <w:lang w:val="fr-FR"/>
        </w:rPr>
        <w:t>article, lequel commence par la photo du journaliste assassiné, le résumé brut de son contenu présenté dans le titre et les sous-titres, ainsi que la narration qui ne laisse pas de place à des hypothèses alternatives, constituent des éléments qui transcendent, certainement, les caractéristiques d</w:t>
      </w:r>
      <w:r w:rsidR="009E0E08" w:rsidRPr="009E0E08">
        <w:rPr>
          <w:lang w:val="fr-FR"/>
        </w:rPr>
        <w:t>’</w:t>
      </w:r>
      <w:r w:rsidRPr="009E0E08">
        <w:rPr>
          <w:lang w:val="fr-FR"/>
        </w:rPr>
        <w:t>une information sereine et objective. En outre, le rapprochement (...) des officiers A.R. et U.B. (...) avec d</w:t>
      </w:r>
      <w:r w:rsidR="009E0E08" w:rsidRPr="009E0E08">
        <w:rPr>
          <w:lang w:val="fr-FR"/>
        </w:rPr>
        <w:t>’</w:t>
      </w:r>
      <w:r w:rsidRPr="009E0E08">
        <w:rPr>
          <w:lang w:val="fr-FR"/>
        </w:rPr>
        <w:t>autres événements étrangers à « l</w:t>
      </w:r>
      <w:r w:rsidR="009E0E08" w:rsidRPr="009E0E08">
        <w:rPr>
          <w:lang w:val="fr-FR"/>
        </w:rPr>
        <w:t>’</w:t>
      </w:r>
      <w:r w:rsidRPr="009E0E08">
        <w:rPr>
          <w:lang w:val="fr-FR"/>
        </w:rPr>
        <w:t>affaire Tobagi » et marqués dans le sentiment commun d</w:t>
      </w:r>
      <w:r w:rsidR="009E0E08" w:rsidRPr="009E0E08">
        <w:rPr>
          <w:lang w:val="fr-FR"/>
        </w:rPr>
        <w:t>’</w:t>
      </w:r>
      <w:r w:rsidRPr="009E0E08">
        <w:rPr>
          <w:lang w:val="fr-FR"/>
        </w:rPr>
        <w:t>une valeur négative, tels que l</w:t>
      </w:r>
      <w:r w:rsidR="009E0E08" w:rsidRPr="009E0E08">
        <w:rPr>
          <w:lang w:val="fr-FR"/>
        </w:rPr>
        <w:t>’</w:t>
      </w:r>
      <w:r w:rsidRPr="009E0E08">
        <w:rPr>
          <w:lang w:val="fr-FR"/>
        </w:rPr>
        <w:t>implication d</w:t>
      </w:r>
      <w:r w:rsidR="009E0E08" w:rsidRPr="009E0E08">
        <w:rPr>
          <w:lang w:val="fr-FR"/>
        </w:rPr>
        <w:t>’</w:t>
      </w:r>
      <w:r w:rsidRPr="009E0E08">
        <w:rPr>
          <w:lang w:val="fr-FR"/>
        </w:rPr>
        <w:t xml:space="preserve">officiers des </w:t>
      </w:r>
      <w:r w:rsidRPr="009E0E08">
        <w:rPr>
          <w:i/>
          <w:lang w:val="fr-FR"/>
        </w:rPr>
        <w:t>carabinieri</w:t>
      </w:r>
      <w:r w:rsidRPr="009E0E08">
        <w:rPr>
          <w:lang w:val="fr-FR"/>
        </w:rPr>
        <w:t xml:space="preserve"> dans la loge maçonnique « P2 », (...) est en soi doté d</w:t>
      </w:r>
      <w:r w:rsidR="009E0E08" w:rsidRPr="009E0E08">
        <w:rPr>
          <w:lang w:val="fr-FR"/>
        </w:rPr>
        <w:t>’</w:t>
      </w:r>
      <w:r w:rsidRPr="009E0E08">
        <w:rPr>
          <w:lang w:val="fr-FR"/>
        </w:rPr>
        <w:t>une portée diffamatoire autonome.</w:t>
      </w:r>
    </w:p>
    <w:p w:rsidR="009C7C1B" w:rsidRPr="009E0E08" w:rsidRDefault="009C7C1B" w:rsidP="009E0E08">
      <w:pPr>
        <w:pStyle w:val="ECHRParaQuote"/>
        <w:rPr>
          <w:lang w:val="fr-FR"/>
        </w:rPr>
      </w:pPr>
      <w:r w:rsidRPr="009E0E08">
        <w:rPr>
          <w:lang w:val="fr-FR"/>
        </w:rPr>
        <w:t>Le journaliste n</w:t>
      </w:r>
      <w:r w:rsidR="009E0E08" w:rsidRPr="009E0E08">
        <w:rPr>
          <w:lang w:val="fr-FR"/>
        </w:rPr>
        <w:t>’</w:t>
      </w:r>
      <w:r w:rsidRPr="009E0E08">
        <w:rPr>
          <w:lang w:val="fr-FR"/>
        </w:rPr>
        <w:t>a pas non plus respecté les limites de la vérité (</w:t>
      </w:r>
      <w:r w:rsidRPr="009E0E08">
        <w:rPr>
          <w:i/>
          <w:lang w:val="fr-FR"/>
        </w:rPr>
        <w:t>principio della verità</w:t>
      </w:r>
      <w:r w:rsidRPr="009E0E08">
        <w:rPr>
          <w:lang w:val="fr-FR"/>
        </w:rPr>
        <w:t>), en se référant à des faits qui ont été démentis par plusieurs éléments obtenus au cours du procès. Tout d</w:t>
      </w:r>
      <w:r w:rsidR="009E0E08" w:rsidRPr="009E0E08">
        <w:rPr>
          <w:lang w:val="fr-FR"/>
        </w:rPr>
        <w:t>’</w:t>
      </w:r>
      <w:r w:rsidRPr="009E0E08">
        <w:rPr>
          <w:lang w:val="fr-FR"/>
        </w:rPr>
        <w:t>abord, la version donnée par D.C. est en contradiction avec les déclarations des diffamés (...). En outre, la version présentée par le journaliste est en contraste avec le rapport de D.C. de décembre 1979 (...), qui indiquait que « d</w:t>
      </w:r>
      <w:r w:rsidR="009E0E08" w:rsidRPr="009E0E08">
        <w:rPr>
          <w:lang w:val="fr-FR"/>
        </w:rPr>
        <w:t>’</w:t>
      </w:r>
      <w:r w:rsidRPr="009E0E08">
        <w:rPr>
          <w:lang w:val="fr-FR"/>
        </w:rPr>
        <w:t>après « le Facteur », F. et les autres auraient abandonné le projet de commettre des actions à Varèse, mais ils auraient programmé une action à Milan (...) il s</w:t>
      </w:r>
      <w:r w:rsidR="009E0E08" w:rsidRPr="009E0E08">
        <w:rPr>
          <w:lang w:val="fr-FR"/>
        </w:rPr>
        <w:t>’</w:t>
      </w:r>
      <w:r w:rsidRPr="009E0E08">
        <w:rPr>
          <w:lang w:val="fr-FR"/>
        </w:rPr>
        <w:t>agissait de reprendre un vieux projet des F.C.C. (</w:t>
      </w:r>
      <w:r w:rsidRPr="009E0E08">
        <w:rPr>
          <w:i/>
          <w:lang w:val="fr-FR"/>
        </w:rPr>
        <w:t>Formazioni Comuniste Combattenti</w:t>
      </w:r>
      <w:r w:rsidRPr="009E0E08">
        <w:rPr>
          <w:lang w:val="fr-FR"/>
        </w:rPr>
        <w:t>) (...) « Le Facteur » estimait qu</w:t>
      </w:r>
      <w:r w:rsidR="009E0E08" w:rsidRPr="009E0E08">
        <w:rPr>
          <w:lang w:val="fr-FR"/>
        </w:rPr>
        <w:t>’</w:t>
      </w:r>
      <w:r w:rsidRPr="009E0E08">
        <w:rPr>
          <w:lang w:val="fr-FR"/>
        </w:rPr>
        <w:t>aurait été en préparation l</w:t>
      </w:r>
      <w:r w:rsidR="009E0E08" w:rsidRPr="009E0E08">
        <w:rPr>
          <w:lang w:val="fr-FR"/>
        </w:rPr>
        <w:t>’</w:t>
      </w:r>
      <w:r w:rsidRPr="009E0E08">
        <w:rPr>
          <w:lang w:val="fr-FR"/>
        </w:rPr>
        <w:t>enlèvement de Walter Tobagi ou un attentat contre celui-ci (...), la zone où le groupe est actif devrait être celle (...) où Tobagi habitait. (...)».</w:t>
      </w:r>
    </w:p>
    <w:p w:rsidR="009C7C1B" w:rsidRPr="009E0E08" w:rsidRDefault="009C7C1B" w:rsidP="009E0E08">
      <w:pPr>
        <w:pStyle w:val="ECHRParaQuote"/>
        <w:rPr>
          <w:lang w:val="fr-FR"/>
        </w:rPr>
      </w:pPr>
      <w:r w:rsidRPr="009E0E08">
        <w:rPr>
          <w:lang w:val="fr-FR"/>
        </w:rPr>
        <w:t>Contrairement à ce que l</w:t>
      </w:r>
      <w:r w:rsidR="009E0E08" w:rsidRPr="009E0E08">
        <w:rPr>
          <w:lang w:val="fr-FR"/>
        </w:rPr>
        <w:t>’</w:t>
      </w:r>
      <w:r w:rsidRPr="009E0E08">
        <w:rPr>
          <w:lang w:val="fr-FR"/>
        </w:rPr>
        <w:t>on peut lire dans l</w:t>
      </w:r>
      <w:r w:rsidR="009E0E08" w:rsidRPr="009E0E08">
        <w:rPr>
          <w:lang w:val="fr-FR"/>
        </w:rPr>
        <w:t>’</w:t>
      </w:r>
      <w:r w:rsidRPr="009E0E08">
        <w:rPr>
          <w:lang w:val="fr-FR"/>
        </w:rPr>
        <w:t>article (...), dans son rapport, D.C. ne donnait pas les noms [des terroristes impliqués] (...) Le rapport a un contenu vague. (...) En tous cas, le fait bien connu à l</w:t>
      </w:r>
      <w:r w:rsidR="009E0E08" w:rsidRPr="009E0E08">
        <w:rPr>
          <w:lang w:val="fr-FR"/>
        </w:rPr>
        <w:t>’</w:t>
      </w:r>
      <w:r w:rsidRPr="009E0E08">
        <w:rPr>
          <w:lang w:val="fr-FR"/>
        </w:rPr>
        <w:t>époque que Tobagi était une des cibles potentielles du mouvement terroriste réduit l</w:t>
      </w:r>
      <w:r w:rsidR="009E0E08" w:rsidRPr="009E0E08">
        <w:rPr>
          <w:lang w:val="fr-FR"/>
        </w:rPr>
        <w:t>’</w:t>
      </w:r>
      <w:r w:rsidRPr="009E0E08">
        <w:rPr>
          <w:lang w:val="fr-FR"/>
        </w:rPr>
        <w:t>importance des révélations du rapport. (...)</w:t>
      </w:r>
    </w:p>
    <w:p w:rsidR="009C7C1B" w:rsidRPr="009E0E08" w:rsidRDefault="009C7C1B" w:rsidP="009E0E08">
      <w:pPr>
        <w:pStyle w:val="ECHRParaQuote"/>
        <w:rPr>
          <w:lang w:val="fr-FR"/>
        </w:rPr>
      </w:pPr>
      <w:r w:rsidRPr="009E0E08">
        <w:rPr>
          <w:lang w:val="fr-FR"/>
        </w:rPr>
        <w:t>Le caractère superficiel du rapport est reconnu par D.C. lui-même, qui a déclaré, [dans le cadre du procès pénal pour diffamation ouvert à son encontre], (...) que d</w:t>
      </w:r>
      <w:r w:rsidR="009E0E08" w:rsidRPr="009E0E08">
        <w:rPr>
          <w:lang w:val="fr-FR"/>
        </w:rPr>
        <w:t>’</w:t>
      </w:r>
      <w:r w:rsidRPr="009E0E08">
        <w:rPr>
          <w:lang w:val="fr-FR"/>
        </w:rPr>
        <w:t>autres rapports, plus détaillés et précis, avaient été transmis à ses supérieurs. De ces rapports il n</w:t>
      </w:r>
      <w:r w:rsidR="009E0E08" w:rsidRPr="009E0E08">
        <w:rPr>
          <w:lang w:val="fr-FR"/>
        </w:rPr>
        <w:t>’</w:t>
      </w:r>
      <w:r w:rsidRPr="009E0E08">
        <w:rPr>
          <w:lang w:val="fr-FR"/>
        </w:rPr>
        <w:t>y a aucune trace au dossier et D.C. lui-même a déclaré ne pas en posséder une copie.</w:t>
      </w:r>
    </w:p>
    <w:p w:rsidR="009C7C1B" w:rsidRPr="009E0E08" w:rsidRDefault="009C7C1B" w:rsidP="009E0E08">
      <w:pPr>
        <w:pStyle w:val="ECHRParaQuote"/>
        <w:rPr>
          <w:lang w:val="fr-FR"/>
        </w:rPr>
      </w:pPr>
      <w:r w:rsidRPr="009E0E08">
        <w:rPr>
          <w:lang w:val="fr-FR"/>
        </w:rPr>
        <w:t>La version des faits présentée dans l</w:t>
      </w:r>
      <w:r w:rsidR="009E0E08" w:rsidRPr="009E0E08">
        <w:rPr>
          <w:lang w:val="fr-FR"/>
        </w:rPr>
        <w:t>’</w:t>
      </w:r>
      <w:r w:rsidRPr="009E0E08">
        <w:rPr>
          <w:lang w:val="fr-FR"/>
        </w:rPr>
        <w:t>article est également en contradiction avec ce qu</w:t>
      </w:r>
      <w:r w:rsidR="009E0E08" w:rsidRPr="009E0E08">
        <w:rPr>
          <w:lang w:val="fr-FR"/>
        </w:rPr>
        <w:t>’</w:t>
      </w:r>
      <w:r w:rsidRPr="009E0E08">
        <w:rPr>
          <w:lang w:val="fr-FR"/>
        </w:rPr>
        <w:t>a déclaré l</w:t>
      </w:r>
      <w:r w:rsidR="009E0E08" w:rsidRPr="009E0E08">
        <w:rPr>
          <w:lang w:val="fr-FR"/>
        </w:rPr>
        <w:t>’</w:t>
      </w:r>
      <w:r w:rsidRPr="009E0E08">
        <w:rPr>
          <w:lang w:val="fr-FR"/>
        </w:rPr>
        <w:t>informateur, « le Facteur » (...), et avec les déclarations faites par le responsable principal (...) au cours du procès sur l</w:t>
      </w:r>
      <w:r w:rsidR="009E0E08" w:rsidRPr="009E0E08">
        <w:rPr>
          <w:lang w:val="fr-FR"/>
        </w:rPr>
        <w:t>’</w:t>
      </w:r>
      <w:r w:rsidRPr="009E0E08">
        <w:rPr>
          <w:lang w:val="fr-FR"/>
        </w:rPr>
        <w:t>assassinat de Tobagi.</w:t>
      </w:r>
    </w:p>
    <w:p w:rsidR="009C7C1B" w:rsidRPr="009E0E08" w:rsidRDefault="009C7C1B" w:rsidP="009E0E08">
      <w:pPr>
        <w:pStyle w:val="ECHRParaQuote"/>
        <w:rPr>
          <w:lang w:val="fr-FR"/>
        </w:rPr>
      </w:pPr>
      <w:r w:rsidRPr="009E0E08">
        <w:rPr>
          <w:lang w:val="fr-FR"/>
        </w:rPr>
        <w:t>(...) [il ressort] de la lecture de l</w:t>
      </w:r>
      <w:r w:rsidR="009E0E08" w:rsidRPr="009E0E08">
        <w:rPr>
          <w:lang w:val="fr-FR"/>
        </w:rPr>
        <w:t>’</w:t>
      </w:r>
      <w:r w:rsidRPr="009E0E08">
        <w:rPr>
          <w:lang w:val="fr-FR"/>
        </w:rPr>
        <w:t>article que son auteur ne s</w:t>
      </w:r>
      <w:r w:rsidR="009E0E08" w:rsidRPr="009E0E08">
        <w:rPr>
          <w:lang w:val="fr-FR"/>
        </w:rPr>
        <w:t>’</w:t>
      </w:r>
      <w:r w:rsidRPr="009E0E08">
        <w:rPr>
          <w:lang w:val="fr-FR"/>
        </w:rPr>
        <w:t>est pas limité à rapporter ce que D.C. lui avait appris, mais qu</w:t>
      </w:r>
      <w:r w:rsidR="009E0E08" w:rsidRPr="009E0E08">
        <w:rPr>
          <w:lang w:val="fr-FR"/>
        </w:rPr>
        <w:t>’</w:t>
      </w:r>
      <w:r w:rsidRPr="009E0E08">
        <w:rPr>
          <w:lang w:val="fr-FR"/>
        </w:rPr>
        <w:t>il a au contraire adhéré à la thèse de l</w:t>
      </w:r>
      <w:r w:rsidR="009E0E08" w:rsidRPr="009E0E08">
        <w:rPr>
          <w:lang w:val="fr-FR"/>
        </w:rPr>
        <w:t>’</w:t>
      </w:r>
      <w:r w:rsidRPr="009E0E08">
        <w:rPr>
          <w:lang w:val="fr-FR"/>
        </w:rPr>
        <w:t>inactivité volontaire des officiers. (...) Au cours de son interrogatoire lors de l</w:t>
      </w:r>
      <w:r w:rsidR="009E0E08" w:rsidRPr="009E0E08">
        <w:rPr>
          <w:lang w:val="fr-FR"/>
        </w:rPr>
        <w:t>’</w:t>
      </w:r>
      <w:r w:rsidRPr="009E0E08">
        <w:rPr>
          <w:lang w:val="fr-FR"/>
        </w:rPr>
        <w:t>audience, l</w:t>
      </w:r>
      <w:r w:rsidR="009E0E08" w:rsidRPr="009E0E08">
        <w:rPr>
          <w:lang w:val="fr-FR"/>
        </w:rPr>
        <w:t>’</w:t>
      </w:r>
      <w:r w:rsidRPr="009E0E08">
        <w:rPr>
          <w:lang w:val="fr-FR"/>
        </w:rPr>
        <w:t>accusé [le premier requérant] a confirmé la véracité de l</w:t>
      </w:r>
      <w:r w:rsidR="009E0E08" w:rsidRPr="009E0E08">
        <w:rPr>
          <w:lang w:val="fr-FR"/>
        </w:rPr>
        <w:t>’</w:t>
      </w:r>
      <w:r w:rsidRPr="009E0E08">
        <w:rPr>
          <w:lang w:val="fr-FR"/>
        </w:rPr>
        <w:t xml:space="preserve">article, se référant à ses longues recherches menées préalablement à la publication de son ouvrage </w:t>
      </w:r>
      <w:r w:rsidRPr="009E0E08">
        <w:rPr>
          <w:i/>
          <w:lang w:val="fr-FR"/>
        </w:rPr>
        <w:t>Les cartes de Moro. Pourquoi Tobagi ?</w:t>
      </w:r>
      <w:r w:rsidRPr="009E0E08">
        <w:rPr>
          <w:lang w:val="fr-FR"/>
        </w:rPr>
        <w:t>. En l</w:t>
      </w:r>
      <w:r w:rsidR="009E0E08" w:rsidRPr="009E0E08">
        <w:rPr>
          <w:lang w:val="fr-FR"/>
        </w:rPr>
        <w:t>’</w:t>
      </w:r>
      <w:r w:rsidRPr="009E0E08">
        <w:rPr>
          <w:lang w:val="fr-FR"/>
        </w:rPr>
        <w:t>espèce, le journaliste n</w:t>
      </w:r>
      <w:r w:rsidR="009E0E08" w:rsidRPr="009E0E08">
        <w:rPr>
          <w:lang w:val="fr-FR"/>
        </w:rPr>
        <w:t>’</w:t>
      </w:r>
      <w:r w:rsidRPr="009E0E08">
        <w:rPr>
          <w:lang w:val="fr-FR"/>
        </w:rPr>
        <w:t>a procédé à aucune vérification de la fiabilité de sa source. D</w:t>
      </w:r>
      <w:r w:rsidR="009E0E08" w:rsidRPr="009E0E08">
        <w:rPr>
          <w:lang w:val="fr-FR"/>
        </w:rPr>
        <w:t>’</w:t>
      </w:r>
      <w:r w:rsidRPr="009E0E08">
        <w:rPr>
          <w:lang w:val="fr-FR"/>
        </w:rPr>
        <w:t>ailleurs, on ne saurait considérer D.C. comme fiable (...) [le premier requérant] a par ailleurs admis ne pas avoir pris contact avec U.B. (décédé avant la publication de l</w:t>
      </w:r>
      <w:r w:rsidR="009E0E08" w:rsidRPr="009E0E08">
        <w:rPr>
          <w:lang w:val="fr-FR"/>
        </w:rPr>
        <w:t>’</w:t>
      </w:r>
      <w:r w:rsidRPr="009E0E08">
        <w:rPr>
          <w:lang w:val="fr-FR"/>
        </w:rPr>
        <w:t>article) avant de publier son livre (...) Il a en outre admis ne pas avoir véritablement essayé de prendre contact avec A.R., et n</w:t>
      </w:r>
      <w:r w:rsidR="009E0E08" w:rsidRPr="009E0E08">
        <w:rPr>
          <w:lang w:val="fr-FR"/>
        </w:rPr>
        <w:t>’</w:t>
      </w:r>
      <w:r w:rsidRPr="009E0E08">
        <w:rPr>
          <w:lang w:val="fr-FR"/>
        </w:rPr>
        <w:t>a pas sérieusement justifié cette omission (le fait de ne pas avoir pu le joindre au téléphone à son bureau au palais de justice n</w:t>
      </w:r>
      <w:r w:rsidR="009E0E08" w:rsidRPr="009E0E08">
        <w:rPr>
          <w:lang w:val="fr-FR"/>
        </w:rPr>
        <w:t>’</w:t>
      </w:r>
      <w:r w:rsidRPr="009E0E08">
        <w:rPr>
          <w:lang w:val="fr-FR"/>
        </w:rPr>
        <w:t>est pas plausible) (...) »</w:t>
      </w:r>
    </w:p>
    <w:bookmarkStart w:id="7" w:name="VERITA_PUTATIVA"/>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18</w:t>
      </w:r>
      <w:r w:rsidRPr="009E0E08">
        <w:rPr>
          <w:lang w:val="fr-FR"/>
        </w:rPr>
        <w:fldChar w:fldCharType="end"/>
      </w:r>
      <w:bookmarkEnd w:id="7"/>
      <w:r w:rsidRPr="009E0E08">
        <w:rPr>
          <w:lang w:val="fr-FR"/>
        </w:rPr>
        <w:t>.  Les requérants interjetèrent appel, en demandant aussi la réunion de leur procès et de celui ouvert contre D.C.. Dans leur recours, ils alléguaient, en invoquant l</w:t>
      </w:r>
      <w:r w:rsidR="009E0E08" w:rsidRPr="009E0E08">
        <w:rPr>
          <w:lang w:val="fr-FR"/>
        </w:rPr>
        <w:t>’</w:t>
      </w:r>
      <w:r w:rsidRPr="009E0E08">
        <w:rPr>
          <w:lang w:val="fr-FR"/>
        </w:rPr>
        <w:t>exercice du droit de chronique (</w:t>
      </w:r>
      <w:r w:rsidRPr="009E0E08">
        <w:rPr>
          <w:i/>
          <w:lang w:val="fr-FR"/>
        </w:rPr>
        <w:t>diritto di cronaca</w:t>
      </w:r>
      <w:r w:rsidRPr="009E0E08">
        <w:rPr>
          <w:lang w:val="fr-FR"/>
        </w:rPr>
        <w:t>), que le tribunal avait ignoré les éléments prouvant que les déclarations de D.C. avaient été vérifiées. Ils soutenaient que, à la lumière des éléments objectifs examinés, ils avaient pu conclure en bonne foi que les déclarations de D.C. pouvaient être crédibles et correspondre à une « vérité putative » (</w:t>
      </w:r>
      <w:r w:rsidRPr="009E0E08">
        <w:rPr>
          <w:i/>
          <w:lang w:val="fr-FR"/>
        </w:rPr>
        <w:t>verità</w:t>
      </w:r>
      <w:r w:rsidR="009E4339" w:rsidRPr="009E0E08">
        <w:rPr>
          <w:i/>
          <w:lang w:val="fr-FR"/>
        </w:rPr>
        <w:t> </w:t>
      </w:r>
      <w:r w:rsidRPr="009E0E08">
        <w:rPr>
          <w:i/>
          <w:lang w:val="fr-FR"/>
        </w:rPr>
        <w:t>putativa</w:t>
      </w:r>
      <w:r w:rsidRPr="009E0E08">
        <w:rPr>
          <w:lang w:val="fr-FR"/>
        </w:rPr>
        <w:t>).</w:t>
      </w:r>
    </w:p>
    <w:bookmarkStart w:id="8" w:name="APPEL_VERIFICATION"/>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19</w:t>
      </w:r>
      <w:r w:rsidRPr="009E0E08">
        <w:rPr>
          <w:lang w:val="fr-FR"/>
        </w:rPr>
        <w:fldChar w:fldCharType="end"/>
      </w:r>
      <w:bookmarkEnd w:id="8"/>
      <w:r w:rsidRPr="009E0E08">
        <w:rPr>
          <w:lang w:val="fr-FR"/>
        </w:rPr>
        <w:t>.  Les requérants énuméraient ensuite les vérifications effectuées, mettant en avant que le premier requérant, en tant que journaliste travaillant au sein du même groupe éditorial que Walter Tobagi, aurait été un témoin privilégié des événements, aussi le directeur du quotidien de Walter Tobagi lui aurait-il demandé, à la suite de l</w:t>
      </w:r>
      <w:r w:rsidR="009E0E08" w:rsidRPr="009E0E08">
        <w:rPr>
          <w:lang w:val="fr-FR"/>
        </w:rPr>
        <w:t>’</w:t>
      </w:r>
      <w:r w:rsidRPr="009E0E08">
        <w:rPr>
          <w:lang w:val="fr-FR"/>
        </w:rPr>
        <w:t>assassinat, d</w:t>
      </w:r>
      <w:r w:rsidR="009E0E08" w:rsidRPr="009E0E08">
        <w:rPr>
          <w:lang w:val="fr-FR"/>
        </w:rPr>
        <w:t>’</w:t>
      </w:r>
      <w:r w:rsidRPr="009E0E08">
        <w:rPr>
          <w:lang w:val="fr-FR"/>
        </w:rPr>
        <w:t xml:space="preserve">enquêter et de prendre contact avec ses sources parmi les </w:t>
      </w:r>
      <w:r w:rsidRPr="009E0E08">
        <w:rPr>
          <w:i/>
          <w:lang w:val="fr-FR"/>
        </w:rPr>
        <w:t>carabinieri</w:t>
      </w:r>
      <w:r w:rsidRPr="009E0E08">
        <w:rPr>
          <w:lang w:val="fr-FR"/>
        </w:rPr>
        <w:t xml:space="preserve"> pour vérifier les confidences qu</w:t>
      </w:r>
      <w:r w:rsidR="009E0E08" w:rsidRPr="009E0E08">
        <w:rPr>
          <w:lang w:val="fr-FR"/>
        </w:rPr>
        <w:t>’</w:t>
      </w:r>
      <w:r w:rsidRPr="009E0E08">
        <w:rPr>
          <w:lang w:val="fr-FR"/>
        </w:rPr>
        <w:t>il avait reçu du général Dalla Chiesa, selon lesquelles l</w:t>
      </w:r>
      <w:r w:rsidR="009E0E08" w:rsidRPr="009E0E08">
        <w:rPr>
          <w:lang w:val="fr-FR"/>
        </w:rPr>
        <w:t>’</w:t>
      </w:r>
      <w:r w:rsidRPr="009E0E08">
        <w:rPr>
          <w:lang w:val="fr-FR"/>
        </w:rPr>
        <w:t>auteur de l</w:t>
      </w:r>
      <w:r w:rsidR="009E0E08" w:rsidRPr="009E0E08">
        <w:rPr>
          <w:lang w:val="fr-FR"/>
        </w:rPr>
        <w:t>’</w:t>
      </w:r>
      <w:r w:rsidRPr="009E0E08">
        <w:rPr>
          <w:lang w:val="fr-FR"/>
        </w:rPr>
        <w:t>assassinat était déjà connu par les forces de l</w:t>
      </w:r>
      <w:r w:rsidR="009E0E08" w:rsidRPr="009E0E08">
        <w:rPr>
          <w:lang w:val="fr-FR"/>
        </w:rPr>
        <w:t>’</w:t>
      </w:r>
      <w:r w:rsidRPr="009E0E08">
        <w:rPr>
          <w:lang w:val="fr-FR"/>
        </w:rPr>
        <w:t>ordre.</w:t>
      </w:r>
    </w:p>
    <w:p w:rsidR="009C7C1B" w:rsidRPr="009E0E08" w:rsidRDefault="009C7C1B" w:rsidP="009E0E08">
      <w:pPr>
        <w:pStyle w:val="ECHRPara"/>
        <w:rPr>
          <w:lang w:val="fr-FR"/>
        </w:rPr>
      </w:pPr>
      <w:r w:rsidRPr="009E0E08">
        <w:rPr>
          <w:lang w:val="fr-FR"/>
        </w:rPr>
        <w:t xml:space="preserve">Grâce à ses contacts dans les </w:t>
      </w:r>
      <w:r w:rsidRPr="009E0E08">
        <w:rPr>
          <w:i/>
          <w:lang w:val="fr-FR"/>
        </w:rPr>
        <w:t>carabinieri</w:t>
      </w:r>
      <w:r w:rsidRPr="009E0E08">
        <w:rPr>
          <w:lang w:val="fr-FR"/>
        </w:rPr>
        <w:t>, il fut le seul journaliste, à la suite de l</w:t>
      </w:r>
      <w:r w:rsidR="009E0E08" w:rsidRPr="009E0E08">
        <w:rPr>
          <w:lang w:val="fr-FR"/>
        </w:rPr>
        <w:t>’</w:t>
      </w:r>
      <w:r w:rsidRPr="009E0E08">
        <w:rPr>
          <w:lang w:val="fr-FR"/>
        </w:rPr>
        <w:t>arrestation de M.B. et quelques jours avant qu</w:t>
      </w:r>
      <w:r w:rsidR="009E0E08" w:rsidRPr="009E0E08">
        <w:rPr>
          <w:lang w:val="fr-FR"/>
        </w:rPr>
        <w:t>’</w:t>
      </w:r>
      <w:r w:rsidRPr="009E0E08">
        <w:rPr>
          <w:lang w:val="fr-FR"/>
        </w:rPr>
        <w:t>il ne formule ses aveux, à publier un article désignant celui-ci comme probable auteur de l</w:t>
      </w:r>
      <w:r w:rsidR="009E0E08" w:rsidRPr="009E0E08">
        <w:rPr>
          <w:lang w:val="fr-FR"/>
        </w:rPr>
        <w:t>’</w:t>
      </w:r>
      <w:r w:rsidRPr="009E0E08">
        <w:rPr>
          <w:lang w:val="fr-FR"/>
        </w:rPr>
        <w:t>assassinat et que l</w:t>
      </w:r>
      <w:r w:rsidR="009E0E08" w:rsidRPr="009E0E08">
        <w:rPr>
          <w:lang w:val="fr-FR"/>
        </w:rPr>
        <w:t>’</w:t>
      </w:r>
      <w:r w:rsidRPr="009E0E08">
        <w:rPr>
          <w:lang w:val="fr-FR"/>
        </w:rPr>
        <w:t>activité d</w:t>
      </w:r>
      <w:r w:rsidR="009E0E08" w:rsidRPr="009E0E08">
        <w:rPr>
          <w:lang w:val="fr-FR"/>
        </w:rPr>
        <w:t>’</w:t>
      </w:r>
      <w:r w:rsidRPr="009E0E08">
        <w:rPr>
          <w:lang w:val="fr-FR"/>
        </w:rPr>
        <w:t>investigation se poursuivait dans la zone de Varese, là où « le Facteur » était actif. À cet égard, les requérants ajoutaient que, selon la version officielle, les enquêteurs avaient déclaré que, avant les aveux de M.B., ils ne disposaient d</w:t>
      </w:r>
      <w:r w:rsidR="009E0E08" w:rsidRPr="009E0E08">
        <w:rPr>
          <w:lang w:val="fr-FR"/>
        </w:rPr>
        <w:t>’</w:t>
      </w:r>
      <w:r w:rsidRPr="009E0E08">
        <w:rPr>
          <w:lang w:val="fr-FR"/>
        </w:rPr>
        <w:t>aucune preuve contre ce dernier.</w:t>
      </w:r>
    </w:p>
    <w:p w:rsidR="009C7C1B" w:rsidRPr="009E0E08" w:rsidRDefault="009C7C1B" w:rsidP="009E0E08">
      <w:pPr>
        <w:pStyle w:val="ECHRPara"/>
        <w:rPr>
          <w:lang w:val="fr-FR"/>
        </w:rPr>
      </w:pPr>
      <w:r w:rsidRPr="009E0E08">
        <w:rPr>
          <w:lang w:val="fr-FR"/>
        </w:rPr>
        <w:t>Ils indiquaient ensuite qu</w:t>
      </w:r>
      <w:r w:rsidR="009E0E08" w:rsidRPr="009E0E08">
        <w:rPr>
          <w:lang w:val="fr-FR"/>
        </w:rPr>
        <w:t>’</w:t>
      </w:r>
      <w:r w:rsidRPr="009E0E08">
        <w:rPr>
          <w:lang w:val="fr-FR"/>
        </w:rPr>
        <w:t xml:space="preserve">à quelques jours du crime, les </w:t>
      </w:r>
      <w:r w:rsidRPr="009E0E08">
        <w:rPr>
          <w:i/>
          <w:lang w:val="fr-FR"/>
        </w:rPr>
        <w:t>carabinieri</w:t>
      </w:r>
      <w:r w:rsidRPr="009E0E08">
        <w:rPr>
          <w:lang w:val="fr-FR"/>
        </w:rPr>
        <w:t xml:space="preserve"> avaient demandé l</w:t>
      </w:r>
      <w:r w:rsidR="009E0E08" w:rsidRPr="009E0E08">
        <w:rPr>
          <w:lang w:val="fr-FR"/>
        </w:rPr>
        <w:t>’</w:t>
      </w:r>
      <w:r w:rsidRPr="009E0E08">
        <w:rPr>
          <w:lang w:val="fr-FR"/>
        </w:rPr>
        <w:t>autorisation de mettre sur écoute quatre lignes téléphoniques, dont celle utilisée par M.B. et sa concubine et celles de deux autres membres du groupe terroriste « Brigade 28 mars ». À l</w:t>
      </w:r>
      <w:r w:rsidR="009E0E08" w:rsidRPr="009E0E08">
        <w:rPr>
          <w:lang w:val="fr-FR"/>
        </w:rPr>
        <w:t>’</w:t>
      </w:r>
      <w:r w:rsidRPr="009E0E08">
        <w:rPr>
          <w:lang w:val="fr-FR"/>
        </w:rPr>
        <w:t>époque, le premier requérant avait rencontré le capitaine U.B., qui lui avait parlé de la « piste M.B. » et d</w:t>
      </w:r>
      <w:r w:rsidR="009E0E08" w:rsidRPr="009E0E08">
        <w:rPr>
          <w:lang w:val="fr-FR"/>
        </w:rPr>
        <w:t>’</w:t>
      </w:r>
      <w:r w:rsidRPr="009E0E08">
        <w:rPr>
          <w:lang w:val="fr-FR"/>
        </w:rPr>
        <w:t>une expertise graphologique réalisée sur un document manuscrit rédigé par M.B. Encore, ils rappelaient qu</w:t>
      </w:r>
      <w:r w:rsidR="009E0E08" w:rsidRPr="009E0E08">
        <w:rPr>
          <w:lang w:val="fr-FR"/>
        </w:rPr>
        <w:t>’</w:t>
      </w:r>
      <w:r w:rsidRPr="009E0E08">
        <w:rPr>
          <w:lang w:val="fr-FR"/>
        </w:rPr>
        <w:t>en 1978, M.B. et « le</w:t>
      </w:r>
      <w:r w:rsidR="009E4339" w:rsidRPr="009E0E08">
        <w:rPr>
          <w:lang w:val="fr-FR"/>
        </w:rPr>
        <w:t> </w:t>
      </w:r>
      <w:r w:rsidRPr="009E0E08">
        <w:rPr>
          <w:lang w:val="fr-FR"/>
        </w:rPr>
        <w:t>Facteur » faisaient partie du même groupe terroriste nommé « F.C.C. » (</w:t>
      </w:r>
      <w:r w:rsidRPr="009E0E08">
        <w:rPr>
          <w:i/>
          <w:lang w:val="fr-FR"/>
        </w:rPr>
        <w:t>Formazioni Comuniste Combattenti</w:t>
      </w:r>
      <w:r w:rsidRPr="009E0E08">
        <w:rPr>
          <w:lang w:val="fr-FR"/>
        </w:rPr>
        <w:t>) qui avait essayé d</w:t>
      </w:r>
      <w:r w:rsidR="009E0E08" w:rsidRPr="009E0E08">
        <w:rPr>
          <w:lang w:val="fr-FR"/>
        </w:rPr>
        <w:t>’</w:t>
      </w:r>
      <w:r w:rsidRPr="009E0E08">
        <w:rPr>
          <w:lang w:val="fr-FR"/>
        </w:rPr>
        <w:t>enlever Walter Tobagi.</w:t>
      </w:r>
    </w:p>
    <w:p w:rsidR="009C7C1B" w:rsidRPr="009E0E08" w:rsidRDefault="009C7C1B" w:rsidP="009E0E08">
      <w:pPr>
        <w:pStyle w:val="ECHRPara"/>
        <w:rPr>
          <w:lang w:val="fr-FR"/>
        </w:rPr>
      </w:pPr>
      <w:r w:rsidRPr="009E0E08">
        <w:rPr>
          <w:lang w:val="fr-FR"/>
        </w:rPr>
        <w:t>Selon les requérants, le fait que parmi les différentes groupes et organisations terroristes actives à l</w:t>
      </w:r>
      <w:r w:rsidR="009E0E08" w:rsidRPr="009E0E08">
        <w:rPr>
          <w:lang w:val="fr-FR"/>
        </w:rPr>
        <w:t>’</w:t>
      </w:r>
      <w:r w:rsidRPr="009E0E08">
        <w:rPr>
          <w:lang w:val="fr-FR"/>
        </w:rPr>
        <w:t xml:space="preserve">époque, les </w:t>
      </w:r>
      <w:r w:rsidRPr="009E0E08">
        <w:rPr>
          <w:i/>
          <w:lang w:val="fr-FR"/>
        </w:rPr>
        <w:t>carabinieri</w:t>
      </w:r>
      <w:r w:rsidRPr="009E0E08">
        <w:rPr>
          <w:lang w:val="fr-FR"/>
        </w:rPr>
        <w:t xml:space="preserve"> avaient pu cibler si rapidement leurs efforts sur M.B. et ses complices, faisait raisonnablement penser que la version de D.C. était crédible et que les </w:t>
      </w:r>
      <w:r w:rsidRPr="009E0E08">
        <w:rPr>
          <w:i/>
          <w:lang w:val="fr-FR"/>
        </w:rPr>
        <w:t>carabinieri</w:t>
      </w:r>
      <w:r w:rsidRPr="009E0E08">
        <w:rPr>
          <w:lang w:val="fr-FR"/>
        </w:rPr>
        <w:t xml:space="preserve"> avaient pu disposer d</w:t>
      </w:r>
      <w:r w:rsidR="009E0E08" w:rsidRPr="009E0E08">
        <w:rPr>
          <w:lang w:val="fr-FR"/>
        </w:rPr>
        <w:t>’</w:t>
      </w:r>
      <w:r w:rsidRPr="009E0E08">
        <w:rPr>
          <w:lang w:val="fr-FR"/>
        </w:rPr>
        <w:t>autres éléments inconnus au public.</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20</w:t>
      </w:r>
      <w:r w:rsidRPr="009E0E08">
        <w:rPr>
          <w:lang w:val="fr-FR"/>
        </w:rPr>
        <w:fldChar w:fldCharType="end"/>
      </w:r>
      <w:r w:rsidRPr="009E0E08">
        <w:rPr>
          <w:lang w:val="fr-FR"/>
        </w:rPr>
        <w:t>.  Encore, en ce qui concernait la chronologie des faits, les requérants indiquaient que, s</w:t>
      </w:r>
      <w:r w:rsidR="009E0E08" w:rsidRPr="009E0E08">
        <w:rPr>
          <w:lang w:val="fr-FR"/>
        </w:rPr>
        <w:t>’</w:t>
      </w:r>
      <w:r w:rsidRPr="009E0E08">
        <w:rPr>
          <w:lang w:val="fr-FR"/>
        </w:rPr>
        <w:t>il était vrai que le groupe terroriste avait choisi son nom à la suite d</w:t>
      </w:r>
      <w:r w:rsidR="009E0E08" w:rsidRPr="009E0E08">
        <w:rPr>
          <w:lang w:val="fr-FR"/>
        </w:rPr>
        <w:t>’</w:t>
      </w:r>
      <w:r w:rsidRPr="009E0E08">
        <w:rPr>
          <w:lang w:val="fr-FR"/>
        </w:rPr>
        <w:t>un épisode qui avait eu lieu le 28 mars 1980, il était également vrai que M.B. et une partie du groupe était déjà actif en 1979 sous une autre appellation (</w:t>
      </w:r>
      <w:r w:rsidRPr="009E0E08">
        <w:rPr>
          <w:i/>
          <w:lang w:val="fr-FR"/>
        </w:rPr>
        <w:t>Guerriglia Rossa</w:t>
      </w:r>
      <w:r w:rsidRPr="009E0E08">
        <w:rPr>
          <w:lang w:val="fr-FR"/>
        </w:rPr>
        <w:t>). Enfin, quant aux déclarations du « Facteur » qui a nié d</w:t>
      </w:r>
      <w:r w:rsidR="009E0E08" w:rsidRPr="009E0E08">
        <w:rPr>
          <w:lang w:val="fr-FR"/>
        </w:rPr>
        <w:t>’</w:t>
      </w:r>
      <w:r w:rsidRPr="009E0E08">
        <w:rPr>
          <w:lang w:val="fr-FR"/>
        </w:rPr>
        <w:t>avoir fait les noms à D.C., les requérants soutenaient que ce dernier ne voulait, après la déclaration du ministre de l</w:t>
      </w:r>
      <w:r w:rsidR="009E0E08" w:rsidRPr="009E0E08">
        <w:rPr>
          <w:lang w:val="fr-FR"/>
        </w:rPr>
        <w:t>’</w:t>
      </w:r>
      <w:r w:rsidRPr="009E0E08">
        <w:rPr>
          <w:lang w:val="fr-FR"/>
        </w:rPr>
        <w:t>Intérieur le désignant publiquement comme l</w:t>
      </w:r>
      <w:r w:rsidR="009E0E08" w:rsidRPr="009E0E08">
        <w:rPr>
          <w:lang w:val="fr-FR"/>
        </w:rPr>
        <w:t>’</w:t>
      </w:r>
      <w:r w:rsidRPr="009E0E08">
        <w:rPr>
          <w:lang w:val="fr-FR"/>
        </w:rPr>
        <w:t xml:space="preserve">informateur des </w:t>
      </w:r>
      <w:r w:rsidRPr="009E0E08">
        <w:rPr>
          <w:i/>
          <w:lang w:val="fr-FR"/>
        </w:rPr>
        <w:t>carabinieri</w:t>
      </w:r>
      <w:r w:rsidRPr="009E0E08">
        <w:rPr>
          <w:lang w:val="fr-FR"/>
        </w:rPr>
        <w:t>, ni s</w:t>
      </w:r>
      <w:r w:rsidR="009E0E08" w:rsidRPr="009E0E08">
        <w:rPr>
          <w:lang w:val="fr-FR"/>
        </w:rPr>
        <w:t>’</w:t>
      </w:r>
      <w:r w:rsidRPr="009E0E08">
        <w:rPr>
          <w:lang w:val="fr-FR"/>
        </w:rPr>
        <w:t xml:space="preserve">exposer, sa collaboration avec les </w:t>
      </w:r>
      <w:r w:rsidRPr="009E0E08">
        <w:rPr>
          <w:i/>
          <w:lang w:val="fr-FR"/>
        </w:rPr>
        <w:t>carabinieri</w:t>
      </w:r>
      <w:r w:rsidRPr="009E0E08">
        <w:rPr>
          <w:lang w:val="fr-FR"/>
        </w:rPr>
        <w:t xml:space="preserve"> étant encore active en 1983, ni courir le risque de subir des représailles de la part du milieu terroriste.</w:t>
      </w:r>
    </w:p>
    <w:bookmarkStart w:id="9" w:name="COUR_APPEL_MILAN"/>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21</w:t>
      </w:r>
      <w:r w:rsidRPr="009E0E08">
        <w:rPr>
          <w:lang w:val="fr-FR"/>
        </w:rPr>
        <w:fldChar w:fldCharType="end"/>
      </w:r>
      <w:bookmarkEnd w:id="9"/>
      <w:r w:rsidRPr="009E0E08">
        <w:rPr>
          <w:lang w:val="fr-FR"/>
        </w:rPr>
        <w:t>.  Par un arrêt du 3 novembre 2009 (déposé le 30 décembre 2009), la cour d</w:t>
      </w:r>
      <w:r w:rsidR="009E0E08" w:rsidRPr="009E0E08">
        <w:rPr>
          <w:lang w:val="fr-FR"/>
        </w:rPr>
        <w:t>’</w:t>
      </w:r>
      <w:r w:rsidRPr="009E0E08">
        <w:rPr>
          <w:lang w:val="fr-FR"/>
        </w:rPr>
        <w:t>appel de Milan débouta les requérants et l</w:t>
      </w:r>
      <w:r w:rsidR="009E0E08" w:rsidRPr="009E0E08">
        <w:rPr>
          <w:lang w:val="fr-FR"/>
        </w:rPr>
        <w:t>’</w:t>
      </w:r>
      <w:r w:rsidRPr="009E0E08">
        <w:rPr>
          <w:lang w:val="fr-FR"/>
        </w:rPr>
        <w:t>ancien brigadier D.C., la procédure concernant ce dernier ayant dans l</w:t>
      </w:r>
      <w:r w:rsidR="009E0E08" w:rsidRPr="009E0E08">
        <w:rPr>
          <w:lang w:val="fr-FR"/>
        </w:rPr>
        <w:t>’</w:t>
      </w:r>
      <w:r w:rsidRPr="009E0E08">
        <w:rPr>
          <w:lang w:val="fr-FR"/>
        </w:rPr>
        <w:t>intervalle été jointe à celle visant les premiers. La cour d</w:t>
      </w:r>
      <w:r w:rsidR="009E0E08" w:rsidRPr="009E0E08">
        <w:rPr>
          <w:lang w:val="fr-FR"/>
        </w:rPr>
        <w:t>’</w:t>
      </w:r>
      <w:r w:rsidRPr="009E0E08">
        <w:rPr>
          <w:lang w:val="fr-FR"/>
        </w:rPr>
        <w:t>appel jugea que :</w:t>
      </w:r>
    </w:p>
    <w:p w:rsidR="009C7C1B" w:rsidRPr="009E0E08" w:rsidRDefault="009C7C1B" w:rsidP="009E0E08">
      <w:pPr>
        <w:pStyle w:val="ECHRParaQuote"/>
        <w:rPr>
          <w:lang w:val="fr-FR"/>
        </w:rPr>
      </w:pPr>
      <w:r w:rsidRPr="009E0E08">
        <w:rPr>
          <w:lang w:val="fr-FR"/>
        </w:rPr>
        <w:t>« (...) l</w:t>
      </w:r>
      <w:r w:rsidR="009E0E08" w:rsidRPr="009E0E08">
        <w:rPr>
          <w:lang w:val="fr-FR"/>
        </w:rPr>
        <w:t>’</w:t>
      </w:r>
      <w:r w:rsidRPr="009E0E08">
        <w:rPr>
          <w:lang w:val="fr-FR"/>
        </w:rPr>
        <w:t>article (...) est indiscutablement diffamatoire, (...) suggérant en substance aux lecteurs une inactivité volontaire de la part [de deux officiers] (...) il est à relever qu</w:t>
      </w:r>
      <w:r w:rsidR="009E0E08" w:rsidRPr="009E0E08">
        <w:rPr>
          <w:lang w:val="fr-FR"/>
        </w:rPr>
        <w:t>’</w:t>
      </w:r>
      <w:r w:rsidRPr="009E0E08">
        <w:rPr>
          <w:lang w:val="fr-FR"/>
        </w:rPr>
        <w:t>en l</w:t>
      </w:r>
      <w:r w:rsidR="009E0E08" w:rsidRPr="009E0E08">
        <w:rPr>
          <w:lang w:val="fr-FR"/>
        </w:rPr>
        <w:t>’</w:t>
      </w:r>
      <w:r w:rsidRPr="009E0E08">
        <w:rPr>
          <w:lang w:val="fr-FR"/>
        </w:rPr>
        <w:t>espèce le principe de vérité des faits relatés (</w:t>
      </w:r>
      <w:r w:rsidRPr="009E0E08">
        <w:rPr>
          <w:i/>
          <w:lang w:val="fr-FR"/>
        </w:rPr>
        <w:t>principio di verità dei fatti narrati</w:t>
      </w:r>
      <w:r w:rsidRPr="009E0E08">
        <w:rPr>
          <w:lang w:val="fr-FR"/>
        </w:rPr>
        <w:t>) a été enfreint. (...).</w:t>
      </w:r>
    </w:p>
    <w:p w:rsidR="009C7C1B" w:rsidRPr="009E0E08" w:rsidRDefault="009C7C1B" w:rsidP="009E0E08">
      <w:pPr>
        <w:pStyle w:val="ECHRParaQuote"/>
        <w:rPr>
          <w:lang w:val="fr-FR"/>
        </w:rPr>
      </w:pPr>
      <w:r w:rsidRPr="009E0E08">
        <w:rPr>
          <w:lang w:val="fr-FR"/>
        </w:rPr>
        <w:t>(...) Tobagi avait été identifié comme une des possibles cibles (...) et le rapport présenté le 13 décembre 1979 par Ciondolo était marqué de généricité (...) une conjecture du « Facteur » simplement hypothétique, tout comme il est également prouvé que l</w:t>
      </w:r>
      <w:r w:rsidR="009E0E08" w:rsidRPr="009E0E08">
        <w:rPr>
          <w:lang w:val="fr-FR"/>
        </w:rPr>
        <w:t>’</w:t>
      </w:r>
      <w:r w:rsidRPr="009E0E08">
        <w:rPr>
          <w:lang w:val="fr-FR"/>
        </w:rPr>
        <w:t>assassinat fut projeté après mars 1980 (...). Cet élément est aussi prouvé par le jugement de la cour d</w:t>
      </w:r>
      <w:r w:rsidR="009E0E08" w:rsidRPr="009E0E08">
        <w:rPr>
          <w:lang w:val="fr-FR"/>
        </w:rPr>
        <w:t>’</w:t>
      </w:r>
      <w:r w:rsidRPr="009E0E08">
        <w:rPr>
          <w:lang w:val="fr-FR"/>
        </w:rPr>
        <w:t>assises d</w:t>
      </w:r>
      <w:r w:rsidR="009E0E08" w:rsidRPr="009E0E08">
        <w:rPr>
          <w:lang w:val="fr-FR"/>
        </w:rPr>
        <w:t>’</w:t>
      </w:r>
      <w:r w:rsidRPr="009E0E08">
        <w:rPr>
          <w:lang w:val="fr-FR"/>
        </w:rPr>
        <w:t>appel [rendu dans le cadre du procès sur l</w:t>
      </w:r>
      <w:r w:rsidR="009E0E08" w:rsidRPr="009E0E08">
        <w:rPr>
          <w:lang w:val="fr-FR"/>
        </w:rPr>
        <w:t>’</w:t>
      </w:r>
      <w:r w:rsidRPr="009E0E08">
        <w:rPr>
          <w:lang w:val="fr-FR"/>
        </w:rPr>
        <w:t>assassinat de Tobagi] (...).</w:t>
      </w:r>
    </w:p>
    <w:p w:rsidR="009C7C1B" w:rsidRPr="009E0E08" w:rsidRDefault="009C7C1B" w:rsidP="009E0E08">
      <w:pPr>
        <w:pStyle w:val="ECHRParaQuote"/>
        <w:rPr>
          <w:lang w:val="fr-FR"/>
        </w:rPr>
      </w:pPr>
      <w:r w:rsidRPr="009E0E08">
        <w:rPr>
          <w:lang w:val="fr-FR"/>
        </w:rPr>
        <w:t>[D.C.] a donc présenté pour vrais des faits qui étaient faux (...).</w:t>
      </w:r>
    </w:p>
    <w:p w:rsidR="009C7C1B" w:rsidRPr="009E0E08" w:rsidRDefault="009C7C1B" w:rsidP="009E0E08">
      <w:pPr>
        <w:pStyle w:val="ECHRParaQuote"/>
        <w:rPr>
          <w:lang w:val="fr-FR"/>
        </w:rPr>
      </w:pPr>
      <w:r w:rsidRPr="009E0E08">
        <w:rPr>
          <w:lang w:val="fr-FR"/>
        </w:rPr>
        <w:t>Quant à l</w:t>
      </w:r>
      <w:r w:rsidR="009E0E08" w:rsidRPr="009E0E08">
        <w:rPr>
          <w:lang w:val="fr-FR"/>
        </w:rPr>
        <w:t>’</w:t>
      </w:r>
      <w:r w:rsidRPr="009E0E08">
        <w:rPr>
          <w:lang w:val="fr-FR"/>
        </w:rPr>
        <w:t>article du [premier requérant], il convient de relever [son] défaut de véracité et le manque de vérification des éléments publiés, mais aussi le choix de ne pas informer les personnes concernées et la volonté manifeste de présenter sur un ton « sensationnel » (</w:t>
      </w:r>
      <w:r w:rsidRPr="009E0E08">
        <w:rPr>
          <w:i/>
          <w:lang w:val="fr-FR"/>
        </w:rPr>
        <w:t>scandalistico</w:t>
      </w:r>
      <w:r w:rsidRPr="009E0E08">
        <w:rPr>
          <w:lang w:val="fr-FR"/>
        </w:rPr>
        <w:t>) des faits et circonstances comme la seule vérité possible, la seule reconstitution possible des faits, sans indiquer aux lecteurs l</w:t>
      </w:r>
      <w:r w:rsidR="009E0E08" w:rsidRPr="009E0E08">
        <w:rPr>
          <w:lang w:val="fr-FR"/>
        </w:rPr>
        <w:t>’</w:t>
      </w:r>
      <w:r w:rsidRPr="009E0E08">
        <w:rPr>
          <w:lang w:val="fr-FR"/>
        </w:rPr>
        <w:t>existence d</w:t>
      </w:r>
      <w:r w:rsidR="009E0E08" w:rsidRPr="009E0E08">
        <w:rPr>
          <w:lang w:val="fr-FR"/>
        </w:rPr>
        <w:t>’</w:t>
      </w:r>
      <w:r w:rsidRPr="009E0E08">
        <w:rPr>
          <w:lang w:val="fr-FR"/>
        </w:rPr>
        <w:t>une autre vérité judiciairement établie de manière définitive, dont le journaliste était à connaissance. Le tout aggravé par l</w:t>
      </w:r>
      <w:r w:rsidR="009E0E08" w:rsidRPr="009E0E08">
        <w:rPr>
          <w:lang w:val="fr-FR"/>
        </w:rPr>
        <w:t>’</w:t>
      </w:r>
      <w:r w:rsidRPr="009E0E08">
        <w:rPr>
          <w:lang w:val="fr-FR"/>
        </w:rPr>
        <w:t>insertion de commentaires personnels, de titres et sous-titres soulignés en gras.</w:t>
      </w:r>
    </w:p>
    <w:p w:rsidR="009C7C1B" w:rsidRPr="009E0E08" w:rsidRDefault="009C7C1B" w:rsidP="009E0E08">
      <w:pPr>
        <w:pStyle w:val="ECHRParaQuote"/>
        <w:rPr>
          <w:lang w:val="fr-FR"/>
        </w:rPr>
      </w:pPr>
      <w:r w:rsidRPr="009E0E08">
        <w:rPr>
          <w:lang w:val="fr-FR"/>
        </w:rPr>
        <w:t>(...) La circonstance atténuante [de l</w:t>
      </w:r>
      <w:r w:rsidR="009E0E08" w:rsidRPr="009E0E08">
        <w:rPr>
          <w:lang w:val="fr-FR"/>
        </w:rPr>
        <w:t>’</w:t>
      </w:r>
      <w:r w:rsidRPr="009E0E08">
        <w:rPr>
          <w:lang w:val="fr-FR"/>
        </w:rPr>
        <w:t>exercice] du droit de chronique n</w:t>
      </w:r>
      <w:r w:rsidR="009E0E08" w:rsidRPr="009E0E08">
        <w:rPr>
          <w:lang w:val="fr-FR"/>
        </w:rPr>
        <w:t>’</w:t>
      </w:r>
      <w:r w:rsidRPr="009E0E08">
        <w:rPr>
          <w:lang w:val="fr-FR"/>
        </w:rPr>
        <w:t>est pas applicable, d</w:t>
      </w:r>
      <w:r w:rsidR="009E0E08" w:rsidRPr="009E0E08">
        <w:rPr>
          <w:lang w:val="fr-FR"/>
        </w:rPr>
        <w:t>’</w:t>
      </w:r>
      <w:r w:rsidRPr="009E0E08">
        <w:rPr>
          <w:lang w:val="fr-FR"/>
        </w:rPr>
        <w:t>autant [moins] que la volonté du journaliste est intentionnellement diffamatoire (...).</w:t>
      </w:r>
    </w:p>
    <w:p w:rsidR="009C7C1B" w:rsidRPr="009E0E08" w:rsidRDefault="009C7C1B" w:rsidP="009E0E08">
      <w:pPr>
        <w:pStyle w:val="ECHRParaQuote"/>
        <w:rPr>
          <w:lang w:val="fr-FR"/>
        </w:rPr>
      </w:pPr>
      <w:r w:rsidRPr="009E0E08">
        <w:rPr>
          <w:lang w:val="fr-FR"/>
        </w:rPr>
        <w:t>[Les deux requérants] n</w:t>
      </w:r>
      <w:r w:rsidR="009E0E08" w:rsidRPr="009E0E08">
        <w:rPr>
          <w:lang w:val="fr-FR"/>
        </w:rPr>
        <w:t>’</w:t>
      </w:r>
      <w:r w:rsidRPr="009E0E08">
        <w:rPr>
          <w:lang w:val="fr-FR"/>
        </w:rPr>
        <w:t>ont opéré aucune vérification (...) »</w:t>
      </w:r>
    </w:p>
    <w:bookmarkStart w:id="10" w:name="CONDAMNATION"/>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22</w:t>
      </w:r>
      <w:r w:rsidRPr="009E0E08">
        <w:rPr>
          <w:lang w:val="fr-FR"/>
        </w:rPr>
        <w:fldChar w:fldCharType="end"/>
      </w:r>
      <w:bookmarkEnd w:id="10"/>
      <w:r w:rsidRPr="009E0E08">
        <w:rPr>
          <w:lang w:val="fr-FR"/>
        </w:rPr>
        <w:t>.  La cour d</w:t>
      </w:r>
      <w:r w:rsidR="009E0E08" w:rsidRPr="009E0E08">
        <w:rPr>
          <w:lang w:val="fr-FR"/>
        </w:rPr>
        <w:t>’</w:t>
      </w:r>
      <w:r w:rsidRPr="009E0E08">
        <w:rPr>
          <w:lang w:val="fr-FR"/>
        </w:rPr>
        <w:t>appel confirma ainsi la décision de première instance et condamna les requérants et D.C. à verser aux parties civiles la somme provisionnelle de 120 000 EUR, à titre de réparation partielle du préjudice causé, et la somme de 6 500 EUR pour les frais et dépens. Elle renvoya au juge civil la question de la détermination exacte du préjudice moral.</w:t>
      </w:r>
    </w:p>
    <w:bookmarkStart w:id="11" w:name="CASSATION_POURVOI"/>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23</w:t>
      </w:r>
      <w:r w:rsidRPr="009E0E08">
        <w:rPr>
          <w:lang w:val="fr-FR"/>
        </w:rPr>
        <w:fldChar w:fldCharType="end"/>
      </w:r>
      <w:bookmarkEnd w:id="11"/>
      <w:r w:rsidRPr="009E0E08">
        <w:rPr>
          <w:lang w:val="fr-FR"/>
        </w:rPr>
        <w:t>.  Les requérants se pourvurent en cassation. Dans le cadre de leur pourvoi, ils soutenaient avoir respecté leur obligation de vérifier la véridicité des affirmations de D.C. Ils affirmaient que les déclarations de D.C. présentaient des faits nouveaux, indiscutablement d</w:t>
      </w:r>
      <w:r w:rsidR="009E0E08" w:rsidRPr="009E0E08">
        <w:rPr>
          <w:lang w:val="fr-FR"/>
        </w:rPr>
        <w:t>’</w:t>
      </w:r>
      <w:r w:rsidRPr="009E0E08">
        <w:rPr>
          <w:lang w:val="fr-FR"/>
        </w:rPr>
        <w:t>intérêt général et dignes d</w:t>
      </w:r>
      <w:r w:rsidR="009E0E08" w:rsidRPr="009E0E08">
        <w:rPr>
          <w:lang w:val="fr-FR"/>
        </w:rPr>
        <w:t>’</w:t>
      </w:r>
      <w:r w:rsidRPr="009E0E08">
        <w:rPr>
          <w:lang w:val="fr-FR"/>
        </w:rPr>
        <w:t>être connus du public, qui n</w:t>
      </w:r>
      <w:r w:rsidR="009E0E08" w:rsidRPr="009E0E08">
        <w:rPr>
          <w:lang w:val="fr-FR"/>
        </w:rPr>
        <w:t>’</w:t>
      </w:r>
      <w:r w:rsidRPr="009E0E08">
        <w:rPr>
          <w:lang w:val="fr-FR"/>
        </w:rPr>
        <w:t>avaient pas encore fait l</w:t>
      </w:r>
      <w:r w:rsidR="009E0E08" w:rsidRPr="009E0E08">
        <w:rPr>
          <w:lang w:val="fr-FR"/>
        </w:rPr>
        <w:t>’</w:t>
      </w:r>
      <w:r w:rsidRPr="009E0E08">
        <w:rPr>
          <w:lang w:val="fr-FR"/>
        </w:rPr>
        <w:t>objet d</w:t>
      </w:r>
      <w:r w:rsidR="009E0E08" w:rsidRPr="009E0E08">
        <w:rPr>
          <w:lang w:val="fr-FR"/>
        </w:rPr>
        <w:t>’</w:t>
      </w:r>
      <w:r w:rsidRPr="009E0E08">
        <w:rPr>
          <w:lang w:val="fr-FR"/>
        </w:rPr>
        <w:t>un procès.</w:t>
      </w:r>
    </w:p>
    <w:p w:rsidR="009C7C1B" w:rsidRPr="009E0E08" w:rsidRDefault="009C7C1B" w:rsidP="009E0E08">
      <w:pPr>
        <w:pStyle w:val="ECHRPara"/>
        <w:rPr>
          <w:lang w:val="fr-FR"/>
        </w:rPr>
      </w:pPr>
      <w:r w:rsidRPr="009E0E08">
        <w:rPr>
          <w:lang w:val="fr-FR"/>
        </w:rPr>
        <w:t>Ensuite, ils critiquaient l</w:t>
      </w:r>
      <w:r w:rsidR="009E0E08" w:rsidRPr="009E0E08">
        <w:rPr>
          <w:lang w:val="fr-FR"/>
        </w:rPr>
        <w:t>’</w:t>
      </w:r>
      <w:r w:rsidRPr="009E0E08">
        <w:rPr>
          <w:lang w:val="fr-FR"/>
        </w:rPr>
        <w:t>appréciation faite par la cour d</w:t>
      </w:r>
      <w:r w:rsidR="009E0E08" w:rsidRPr="009E0E08">
        <w:rPr>
          <w:lang w:val="fr-FR"/>
        </w:rPr>
        <w:t>’</w:t>
      </w:r>
      <w:r w:rsidRPr="009E0E08">
        <w:rPr>
          <w:lang w:val="fr-FR"/>
        </w:rPr>
        <w:t>appel de Milan, en ce qu</w:t>
      </w:r>
      <w:r w:rsidR="009E0E08" w:rsidRPr="009E0E08">
        <w:rPr>
          <w:lang w:val="fr-FR"/>
        </w:rPr>
        <w:t>’</w:t>
      </w:r>
      <w:r w:rsidRPr="009E0E08">
        <w:rPr>
          <w:lang w:val="fr-FR"/>
        </w:rPr>
        <w:t>elle aurait été fondée de manière erronée sur des faits censés avoir été établis au cours d</w:t>
      </w:r>
      <w:r w:rsidR="009E0E08" w:rsidRPr="009E0E08">
        <w:rPr>
          <w:lang w:val="fr-FR"/>
        </w:rPr>
        <w:t>’</w:t>
      </w:r>
      <w:r w:rsidRPr="009E0E08">
        <w:rPr>
          <w:lang w:val="fr-FR"/>
        </w:rPr>
        <w:t>autres procès [le procès visant à identifier les responsabilités de« Tobagi » et celui, classé sans suite, visant à déterminer qui, en 1983, avait informé le président du Conseil Craxi du rapport de D.C.].</w:t>
      </w:r>
    </w:p>
    <w:p w:rsidR="009C7C1B" w:rsidRPr="009E0E08" w:rsidRDefault="009C7C1B" w:rsidP="009E0E08">
      <w:pPr>
        <w:pStyle w:val="ECHRPara"/>
        <w:rPr>
          <w:lang w:val="fr-FR"/>
        </w:rPr>
      </w:pPr>
      <w:r w:rsidRPr="009E0E08">
        <w:rPr>
          <w:lang w:val="fr-FR"/>
        </w:rPr>
        <w:t xml:space="preserve">Puis, ils énuméraient les vérifications effectuées. Parmi les éléments fournis, il figurait en particulier un document qui décrivait les investigations effectuées par les </w:t>
      </w:r>
      <w:r w:rsidRPr="009E0E08">
        <w:rPr>
          <w:i/>
          <w:lang w:val="fr-FR"/>
        </w:rPr>
        <w:t>carabinieri</w:t>
      </w:r>
      <w:r w:rsidRPr="009E0E08">
        <w:rPr>
          <w:lang w:val="fr-FR"/>
        </w:rPr>
        <w:t xml:space="preserve"> à la suite de l</w:t>
      </w:r>
      <w:r w:rsidR="009E0E08" w:rsidRPr="009E0E08">
        <w:rPr>
          <w:lang w:val="fr-FR"/>
        </w:rPr>
        <w:t>’</w:t>
      </w:r>
      <w:r w:rsidRPr="009E0E08">
        <w:rPr>
          <w:lang w:val="fr-FR"/>
        </w:rPr>
        <w:t>assassinat de Walter Tobagi et qui avait été transmis au général N.B. Il était notamment indiqué qu</w:t>
      </w:r>
      <w:r w:rsidR="009E0E08" w:rsidRPr="009E0E08">
        <w:rPr>
          <w:lang w:val="fr-FR"/>
        </w:rPr>
        <w:t>’</w:t>
      </w:r>
      <w:r w:rsidRPr="009E0E08">
        <w:rPr>
          <w:lang w:val="fr-FR"/>
        </w:rPr>
        <w:t>une semaine après l</w:t>
      </w:r>
      <w:r w:rsidR="009E0E08" w:rsidRPr="009E0E08">
        <w:rPr>
          <w:lang w:val="fr-FR"/>
        </w:rPr>
        <w:t>’</w:t>
      </w:r>
      <w:r w:rsidRPr="009E0E08">
        <w:rPr>
          <w:lang w:val="fr-FR"/>
        </w:rPr>
        <w:t>assassinat de Tobagi, le 5 juin 1980, la filature de M.B. avait commencé.</w:t>
      </w:r>
    </w:p>
    <w:bookmarkStart w:id="12" w:name="COUR_CASSATION"/>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24</w:t>
      </w:r>
      <w:r w:rsidRPr="009E0E08">
        <w:rPr>
          <w:lang w:val="fr-FR"/>
        </w:rPr>
        <w:fldChar w:fldCharType="end"/>
      </w:r>
      <w:bookmarkEnd w:id="12"/>
      <w:r w:rsidRPr="009E0E08">
        <w:rPr>
          <w:lang w:val="fr-FR"/>
        </w:rPr>
        <w:t xml:space="preserve">.  Par un arrêt du 23 novembre 2010 (déposé au greffe le 28 mars 2011), la Cour de cassation rejeta le pourvoi des requérants, confirmant ainsi la condamnation au paiement de la </w:t>
      </w:r>
      <w:r w:rsidR="00F8223C" w:rsidRPr="009E0E08">
        <w:rPr>
          <w:lang w:val="fr-FR"/>
        </w:rPr>
        <w:t>somme provisionnelle de 120 000 </w:t>
      </w:r>
      <w:r w:rsidRPr="009E0E08">
        <w:rPr>
          <w:lang w:val="fr-FR"/>
        </w:rPr>
        <w:t>EUR, et les condamna, ensemble avec D.C., à verser aux parties civiles 7 000 EUR, pour frais et dépens. Elle se prononça comme suit :</w:t>
      </w:r>
    </w:p>
    <w:p w:rsidR="009C7C1B" w:rsidRPr="009E0E08" w:rsidRDefault="009C7C1B" w:rsidP="009E0E08">
      <w:pPr>
        <w:pStyle w:val="ECHRParaQuote"/>
        <w:rPr>
          <w:lang w:val="fr-FR"/>
        </w:rPr>
      </w:pPr>
      <w:r w:rsidRPr="009E0E08">
        <w:rPr>
          <w:lang w:val="fr-FR"/>
        </w:rPr>
        <w:t>« (...) Cette reconstitution des faits – intrinsèquement discréditant et immorale sur le plan humain, déloyale sur le plan institutionnel et criminelle sur le plan juridique – a puisé sa source première [dans les déclarations de] l</w:t>
      </w:r>
      <w:r w:rsidR="009E0E08" w:rsidRPr="009E0E08">
        <w:rPr>
          <w:lang w:val="fr-FR"/>
        </w:rPr>
        <w:t>’</w:t>
      </w:r>
      <w:r w:rsidRPr="009E0E08">
        <w:rPr>
          <w:lang w:val="fr-FR"/>
        </w:rPr>
        <w:t>ancien brigadier [D.C.], a trouvé son instrument de diffusion dans [la personne du premier requérant], qui l</w:t>
      </w:r>
      <w:r w:rsidR="009E0E08" w:rsidRPr="009E0E08">
        <w:rPr>
          <w:lang w:val="fr-FR"/>
        </w:rPr>
        <w:t>’</w:t>
      </w:r>
      <w:r w:rsidRPr="009E0E08">
        <w:rPr>
          <w:lang w:val="fr-FR"/>
        </w:rPr>
        <w:t>a partagée et mise en relief, et a été publiée dans l</w:t>
      </w:r>
      <w:r w:rsidR="009E0E08" w:rsidRPr="009E0E08">
        <w:rPr>
          <w:lang w:val="fr-FR"/>
        </w:rPr>
        <w:t>’</w:t>
      </w:r>
      <w:r w:rsidRPr="009E0E08">
        <w:rPr>
          <w:lang w:val="fr-FR"/>
        </w:rPr>
        <w:t xml:space="preserve">hebdomadaire </w:t>
      </w:r>
      <w:r w:rsidRPr="009E0E08">
        <w:rPr>
          <w:i/>
          <w:lang w:val="fr-FR"/>
        </w:rPr>
        <w:t>Gente</w:t>
      </w:r>
      <w:r w:rsidRPr="009E0E08">
        <w:rPr>
          <w:lang w:val="fr-FR"/>
        </w:rPr>
        <w:t>, dont le directeur a omis de procéder au contrôle préventif prévu par la loi.</w:t>
      </w:r>
    </w:p>
    <w:p w:rsidR="009C7C1B" w:rsidRPr="009E0E08" w:rsidRDefault="009C7C1B" w:rsidP="009E0E08">
      <w:pPr>
        <w:pStyle w:val="ECHRParaQuote"/>
        <w:rPr>
          <w:lang w:val="fr-FR"/>
        </w:rPr>
      </w:pPr>
      <w:r w:rsidRPr="009E0E08">
        <w:rPr>
          <w:lang w:val="fr-FR"/>
        </w:rPr>
        <w:t>Les juges du fond sont parvenus à une série de conclusions (</w:t>
      </w:r>
      <w:r w:rsidRPr="009E0E08">
        <w:rPr>
          <w:i/>
          <w:lang w:val="fr-FR"/>
        </w:rPr>
        <w:t>conclusioni processuali</w:t>
      </w:r>
      <w:r w:rsidRPr="009E0E08">
        <w:rPr>
          <w:lang w:val="fr-FR"/>
        </w:rPr>
        <w:t>) qui réfutent la thèse de l</w:t>
      </w:r>
      <w:r w:rsidR="009E0E08" w:rsidRPr="009E0E08">
        <w:rPr>
          <w:lang w:val="fr-FR"/>
        </w:rPr>
        <w:t>’</w:t>
      </w:r>
      <w:r w:rsidRPr="009E0E08">
        <w:rPr>
          <w:lang w:val="fr-FR"/>
        </w:rPr>
        <w:t>exceptionnelle capacité d</w:t>
      </w:r>
      <w:r w:rsidR="009E0E08" w:rsidRPr="009E0E08">
        <w:rPr>
          <w:lang w:val="fr-FR"/>
        </w:rPr>
        <w:t>’</w:t>
      </w:r>
      <w:r w:rsidRPr="009E0E08">
        <w:rPr>
          <w:lang w:val="fr-FR"/>
        </w:rPr>
        <w:t>investigation de [D.C.] et de l</w:t>
      </w:r>
      <w:r w:rsidR="009E0E08" w:rsidRPr="009E0E08">
        <w:rPr>
          <w:lang w:val="fr-FR"/>
        </w:rPr>
        <w:t>’</w:t>
      </w:r>
      <w:r w:rsidRPr="009E0E08">
        <w:rPr>
          <w:lang w:val="fr-FR"/>
        </w:rPr>
        <w:t>incapacité [d</w:t>
      </w:r>
      <w:r w:rsidR="009E0E08" w:rsidRPr="009E0E08">
        <w:rPr>
          <w:lang w:val="fr-FR"/>
        </w:rPr>
        <w:t>’</w:t>
      </w:r>
      <w:r w:rsidRPr="009E0E08">
        <w:rPr>
          <w:lang w:val="fr-FR"/>
        </w:rPr>
        <w:t>investigation] des deux victimes de diffamation (...)</w:t>
      </w:r>
    </w:p>
    <w:p w:rsidR="009C7C1B" w:rsidRPr="009E0E08" w:rsidRDefault="009C7C1B" w:rsidP="009E0E08">
      <w:pPr>
        <w:pStyle w:val="ECHRParaQuote"/>
        <w:rPr>
          <w:lang w:val="fr-FR"/>
        </w:rPr>
      </w:pPr>
      <w:r w:rsidRPr="009E0E08">
        <w:rPr>
          <w:lang w:val="fr-FR"/>
        </w:rPr>
        <w:t>Le rapport [de D.C.] ne relevait rien de nouveau aux investigateurs (...) « le Facteur » a exclu d</w:t>
      </w:r>
      <w:r w:rsidR="009E0E08" w:rsidRPr="009E0E08">
        <w:rPr>
          <w:lang w:val="fr-FR"/>
        </w:rPr>
        <w:t>’</w:t>
      </w:r>
      <w:r w:rsidRPr="009E0E08">
        <w:rPr>
          <w:lang w:val="fr-FR"/>
        </w:rPr>
        <w:t>avoir annoncé à D.C. l</w:t>
      </w:r>
      <w:r w:rsidR="009E0E08" w:rsidRPr="009E0E08">
        <w:rPr>
          <w:lang w:val="fr-FR"/>
        </w:rPr>
        <w:t>’</w:t>
      </w:r>
      <w:r w:rsidRPr="009E0E08">
        <w:rPr>
          <w:lang w:val="fr-FR"/>
        </w:rPr>
        <w:t>assassinat de Tobagi (...) la source du « Facteur » a exclu d</w:t>
      </w:r>
      <w:r w:rsidR="009E0E08" w:rsidRPr="009E0E08">
        <w:rPr>
          <w:lang w:val="fr-FR"/>
        </w:rPr>
        <w:t>’</w:t>
      </w:r>
      <w:r w:rsidRPr="009E0E08">
        <w:rPr>
          <w:lang w:val="fr-FR"/>
        </w:rPr>
        <w:t>avoir fait des déclarations sur l</w:t>
      </w:r>
      <w:r w:rsidR="009E0E08" w:rsidRPr="009E0E08">
        <w:rPr>
          <w:lang w:val="fr-FR"/>
        </w:rPr>
        <w:t>’</w:t>
      </w:r>
      <w:r w:rsidRPr="009E0E08">
        <w:rPr>
          <w:lang w:val="fr-FR"/>
        </w:rPr>
        <w:t>assassinat (...).</w:t>
      </w:r>
    </w:p>
    <w:p w:rsidR="009C7C1B" w:rsidRPr="009E0E08" w:rsidRDefault="009C7C1B" w:rsidP="009E0E08">
      <w:pPr>
        <w:pStyle w:val="ECHRParaQuote"/>
        <w:rPr>
          <w:lang w:val="fr-FR"/>
        </w:rPr>
      </w:pPr>
      <w:r w:rsidRPr="009E0E08">
        <w:rPr>
          <w:lang w:val="fr-FR"/>
        </w:rPr>
        <w:t>(...) En ce qui concerne le journaliste, ce dernier a diffusé une information d</w:t>
      </w:r>
      <w:r w:rsidR="009E0E08" w:rsidRPr="009E0E08">
        <w:rPr>
          <w:lang w:val="fr-FR"/>
        </w:rPr>
        <w:t>’</w:t>
      </w:r>
      <w:r w:rsidRPr="009E0E08">
        <w:rPr>
          <w:lang w:val="fr-FR"/>
        </w:rPr>
        <w:t>une portée diffamatoire évidente, préjudiciable à [A.R.] et à la mémoire de [U.B.], montrant sa volonté de nuire aux officiers de l</w:t>
      </w:r>
      <w:r w:rsidR="009E0E08" w:rsidRPr="009E0E08">
        <w:rPr>
          <w:lang w:val="fr-FR"/>
        </w:rPr>
        <w:t>’</w:t>
      </w:r>
      <w:r w:rsidRPr="009E0E08">
        <w:rPr>
          <w:i/>
          <w:lang w:val="fr-FR"/>
        </w:rPr>
        <w:t>Arma</w:t>
      </w:r>
      <w:r w:rsidRPr="009E0E08">
        <w:rPr>
          <w:lang w:val="fr-FR"/>
        </w:rPr>
        <w:t xml:space="preserve"> par l</w:t>
      </w:r>
      <w:r w:rsidR="009E0E08" w:rsidRPr="009E0E08">
        <w:rPr>
          <w:lang w:val="fr-FR"/>
        </w:rPr>
        <w:t>’</w:t>
      </w:r>
      <w:r w:rsidRPr="009E0E08">
        <w:rPr>
          <w:lang w:val="fr-FR"/>
        </w:rPr>
        <w:t>omission totale de contrôle de la véracité de ces graves accusations. Ce contrôle pouvait et devait être fait par [le premier requérant] en interpellant les intéressés et les sources institutionnelles (...), compte tenu du violent impact (...) [que pouvaient avoir] des affirmations faites au détriment d</w:t>
      </w:r>
      <w:r w:rsidR="009E0E08" w:rsidRPr="009E0E08">
        <w:rPr>
          <w:lang w:val="fr-FR"/>
        </w:rPr>
        <w:t>’</w:t>
      </w:r>
      <w:r w:rsidRPr="009E0E08">
        <w:rPr>
          <w:lang w:val="fr-FR"/>
        </w:rPr>
        <w:t>officiers des forces de l</w:t>
      </w:r>
      <w:r w:rsidR="009E0E08" w:rsidRPr="009E0E08">
        <w:rPr>
          <w:lang w:val="fr-FR"/>
        </w:rPr>
        <w:t>’</w:t>
      </w:r>
      <w:r w:rsidRPr="009E0E08">
        <w:rPr>
          <w:lang w:val="fr-FR"/>
        </w:rPr>
        <w:t>ordre, présentés aux citoyens comme coresponsables dans un assassinat d</w:t>
      </w:r>
      <w:r w:rsidR="009E0E08" w:rsidRPr="009E0E08">
        <w:rPr>
          <w:lang w:val="fr-FR"/>
        </w:rPr>
        <w:t>’</w:t>
      </w:r>
      <w:r w:rsidRPr="009E0E08">
        <w:rPr>
          <w:lang w:val="fr-FR"/>
        </w:rPr>
        <w:t>origine terroriste (...) »</w:t>
      </w:r>
    </w:p>
    <w:p w:rsidR="009C7C1B" w:rsidRPr="009E0E08" w:rsidRDefault="009C7C1B" w:rsidP="009E0E08">
      <w:pPr>
        <w:pStyle w:val="ECHRHeading1"/>
        <w:rPr>
          <w:lang w:val="fr-FR"/>
        </w:rPr>
      </w:pPr>
      <w:r w:rsidRPr="009E0E08">
        <w:rPr>
          <w:lang w:val="fr-FR"/>
        </w:rPr>
        <w:t>II.  LE DROIT ET LA PRATIQUE INTERNES PERTINENTS</w:t>
      </w:r>
    </w:p>
    <w:bookmarkStart w:id="13" w:name="ART_57_C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25</w:t>
      </w:r>
      <w:r w:rsidRPr="009E0E08">
        <w:rPr>
          <w:lang w:val="fr-FR"/>
        </w:rPr>
        <w:fldChar w:fldCharType="end"/>
      </w:r>
      <w:bookmarkEnd w:id="13"/>
      <w:r w:rsidRPr="009E0E08">
        <w:rPr>
          <w:lang w:val="fr-FR"/>
        </w:rPr>
        <w:t>.  L</w:t>
      </w:r>
      <w:r w:rsidR="009E0E08" w:rsidRPr="009E0E08">
        <w:rPr>
          <w:lang w:val="fr-FR"/>
        </w:rPr>
        <w:t>’</w:t>
      </w:r>
      <w:r w:rsidRPr="009E0E08">
        <w:rPr>
          <w:lang w:val="fr-FR"/>
        </w:rPr>
        <w:t>article 57 du code pénal (CP), intitulé « Délits commis par voie de presse », prévoit ce qui suit :</w:t>
      </w:r>
    </w:p>
    <w:p w:rsidR="009C7C1B" w:rsidRPr="009E0E08" w:rsidRDefault="009C7C1B" w:rsidP="009E0E08">
      <w:pPr>
        <w:pStyle w:val="ECHRParaQuote"/>
        <w:rPr>
          <w:lang w:val="fr-FR"/>
        </w:rPr>
      </w:pPr>
      <w:r w:rsidRPr="009E0E08">
        <w:rPr>
          <w:lang w:val="fr-FR"/>
        </w:rPr>
        <w:t>« Sans préjudice de la responsabilité de l</w:t>
      </w:r>
      <w:r w:rsidR="009E0E08" w:rsidRPr="009E0E08">
        <w:rPr>
          <w:lang w:val="fr-FR"/>
        </w:rPr>
        <w:t>’</w:t>
      </w:r>
      <w:r w:rsidRPr="009E0E08">
        <w:rPr>
          <w:lang w:val="fr-FR"/>
        </w:rPr>
        <w:t>auteur de la publication et en dehors des cas de complicité, tout directeur ou directeur adjoint responsable du contenu de la publication qui omet d</w:t>
      </w:r>
      <w:r w:rsidR="009E0E08" w:rsidRPr="009E0E08">
        <w:rPr>
          <w:lang w:val="fr-FR"/>
        </w:rPr>
        <w:t>’</w:t>
      </w:r>
      <w:r w:rsidRPr="009E0E08">
        <w:rPr>
          <w:lang w:val="fr-FR"/>
        </w:rPr>
        <w:t>exercer le contrôle nécessaire à la prévention de la commission d</w:t>
      </w:r>
      <w:r w:rsidR="009E0E08" w:rsidRPr="009E0E08">
        <w:rPr>
          <w:lang w:val="fr-FR"/>
        </w:rPr>
        <w:t>’</w:t>
      </w:r>
      <w:r w:rsidRPr="009E0E08">
        <w:rPr>
          <w:lang w:val="fr-FR"/>
        </w:rPr>
        <w:t>une infraction pénale par voie de presse est puni pour négligence, si l</w:t>
      </w:r>
      <w:r w:rsidR="009E0E08" w:rsidRPr="009E0E08">
        <w:rPr>
          <w:lang w:val="fr-FR"/>
        </w:rPr>
        <w:t>’</w:t>
      </w:r>
      <w:r w:rsidRPr="009E0E08">
        <w:rPr>
          <w:lang w:val="fr-FR"/>
        </w:rPr>
        <w:t>infraction est commise, de la peine prévue pour ladite infraction réduite dans une proportion non supérieure à un tiers. »</w:t>
      </w:r>
    </w:p>
    <w:bookmarkStart w:id="14" w:name="ART_595_C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26</w:t>
      </w:r>
      <w:r w:rsidRPr="009E0E08">
        <w:rPr>
          <w:lang w:val="fr-FR"/>
        </w:rPr>
        <w:fldChar w:fldCharType="end"/>
      </w:r>
      <w:bookmarkEnd w:id="14"/>
      <w:r w:rsidRPr="009E0E08">
        <w:rPr>
          <w:lang w:val="fr-FR"/>
        </w:rPr>
        <w:t>.  En ses parties pertinentes en l</w:t>
      </w:r>
      <w:r w:rsidR="009E0E08" w:rsidRPr="009E0E08">
        <w:rPr>
          <w:lang w:val="fr-FR"/>
        </w:rPr>
        <w:t>’</w:t>
      </w:r>
      <w:r w:rsidRPr="009E0E08">
        <w:rPr>
          <w:lang w:val="fr-FR"/>
        </w:rPr>
        <w:t>espèce, l</w:t>
      </w:r>
      <w:r w:rsidR="009E0E08" w:rsidRPr="009E0E08">
        <w:rPr>
          <w:lang w:val="fr-FR"/>
        </w:rPr>
        <w:t>’</w:t>
      </w:r>
      <w:r w:rsidRPr="009E0E08">
        <w:rPr>
          <w:lang w:val="fr-FR"/>
        </w:rPr>
        <w:t>article 595 du CP se lit ainsi :</w:t>
      </w:r>
    </w:p>
    <w:p w:rsidR="009C7C1B" w:rsidRPr="009E0E08" w:rsidRDefault="009C7C1B" w:rsidP="009E0E08">
      <w:pPr>
        <w:pStyle w:val="ECHRParaQuote"/>
        <w:rPr>
          <w:lang w:val="fr-FR"/>
        </w:rPr>
      </w:pPr>
      <w:r w:rsidRPr="009E0E08">
        <w:rPr>
          <w:lang w:val="fr-FR"/>
        </w:rPr>
        <w:t>« 1.</w:t>
      </w:r>
      <w:r w:rsidR="00825C2A" w:rsidRPr="009E0E08">
        <w:rPr>
          <w:lang w:val="fr-FR"/>
        </w:rPr>
        <w:t>  </w:t>
      </w:r>
      <w:r w:rsidRPr="009E0E08">
        <w:rPr>
          <w:lang w:val="fr-FR"/>
        </w:rPr>
        <w:t>Quiconque (...) porte publiquement atteinte à la réputation d</w:t>
      </w:r>
      <w:r w:rsidR="009E0E08" w:rsidRPr="009E0E08">
        <w:rPr>
          <w:lang w:val="fr-FR"/>
        </w:rPr>
        <w:t>’</w:t>
      </w:r>
      <w:r w:rsidRPr="009E0E08">
        <w:rPr>
          <w:lang w:val="fr-FR"/>
        </w:rPr>
        <w:t>autrui (</w:t>
      </w:r>
      <w:r w:rsidRPr="009E0E08">
        <w:rPr>
          <w:i/>
          <w:lang w:val="fr-FR"/>
        </w:rPr>
        <w:t>offende l</w:t>
      </w:r>
      <w:r w:rsidR="009E0E08" w:rsidRPr="009E0E08">
        <w:rPr>
          <w:i/>
          <w:lang w:val="fr-FR"/>
        </w:rPr>
        <w:t>’</w:t>
      </w:r>
      <w:r w:rsidRPr="009E0E08">
        <w:rPr>
          <w:i/>
          <w:lang w:val="fr-FR"/>
        </w:rPr>
        <w:t>altrui reputazione</w:t>
      </w:r>
      <w:r w:rsidRPr="009E0E08">
        <w:rPr>
          <w:lang w:val="fr-FR"/>
        </w:rPr>
        <w:t>)</w:t>
      </w:r>
      <w:r w:rsidRPr="009E0E08" w:rsidDel="00EF5C75">
        <w:rPr>
          <w:lang w:val="fr-FR"/>
        </w:rPr>
        <w:t xml:space="preserve"> </w:t>
      </w:r>
      <w:r w:rsidRPr="009E0E08">
        <w:rPr>
          <w:lang w:val="fr-FR"/>
        </w:rPr>
        <w:t>est puni d</w:t>
      </w:r>
      <w:r w:rsidR="009E0E08" w:rsidRPr="009E0E08">
        <w:rPr>
          <w:lang w:val="fr-FR"/>
        </w:rPr>
        <w:t>’</w:t>
      </w:r>
      <w:r w:rsidRPr="009E0E08">
        <w:rPr>
          <w:lang w:val="fr-FR"/>
        </w:rPr>
        <w:t>une peine pouvant aller jusqu</w:t>
      </w:r>
      <w:r w:rsidR="009E0E08" w:rsidRPr="009E0E08">
        <w:rPr>
          <w:lang w:val="fr-FR"/>
        </w:rPr>
        <w:t>’</w:t>
      </w:r>
      <w:r w:rsidRPr="009E0E08">
        <w:rPr>
          <w:lang w:val="fr-FR"/>
        </w:rPr>
        <w:t>à un an d</w:t>
      </w:r>
      <w:r w:rsidR="009E0E08" w:rsidRPr="009E0E08">
        <w:rPr>
          <w:lang w:val="fr-FR"/>
        </w:rPr>
        <w:t>’</w:t>
      </w:r>
      <w:r w:rsidRPr="009E0E08">
        <w:rPr>
          <w:lang w:val="fr-FR"/>
        </w:rPr>
        <w:t>emprisonnement ou d</w:t>
      </w:r>
      <w:r w:rsidR="009E0E08" w:rsidRPr="009E0E08">
        <w:rPr>
          <w:lang w:val="fr-FR"/>
        </w:rPr>
        <w:t>’</w:t>
      </w:r>
      <w:r w:rsidRPr="009E0E08">
        <w:rPr>
          <w:lang w:val="fr-FR"/>
        </w:rPr>
        <w:t>une amende pouvant aller jusqu</w:t>
      </w:r>
      <w:r w:rsidR="009E0E08" w:rsidRPr="009E0E08">
        <w:rPr>
          <w:lang w:val="fr-FR"/>
        </w:rPr>
        <w:t>’</w:t>
      </w:r>
      <w:r w:rsidRPr="009E0E08">
        <w:rPr>
          <w:lang w:val="fr-FR"/>
        </w:rPr>
        <w:t>à 1 032 EUR.</w:t>
      </w:r>
    </w:p>
    <w:p w:rsidR="009C7C1B" w:rsidRPr="009E0E08" w:rsidRDefault="009C7C1B" w:rsidP="009E0E08">
      <w:pPr>
        <w:pStyle w:val="ECHRParaQuote"/>
        <w:rPr>
          <w:lang w:val="fr-FR"/>
        </w:rPr>
      </w:pPr>
      <w:r w:rsidRPr="009E0E08">
        <w:rPr>
          <w:lang w:val="fr-FR"/>
        </w:rPr>
        <w:t>2.</w:t>
      </w:r>
      <w:r w:rsidR="00825C2A" w:rsidRPr="009E0E08">
        <w:rPr>
          <w:lang w:val="fr-FR"/>
        </w:rPr>
        <w:t>  </w:t>
      </w:r>
      <w:r w:rsidRPr="009E0E08">
        <w:rPr>
          <w:lang w:val="fr-FR"/>
        </w:rPr>
        <w:t>Si l</w:t>
      </w:r>
      <w:r w:rsidR="009E0E08" w:rsidRPr="009E0E08">
        <w:rPr>
          <w:lang w:val="fr-FR"/>
        </w:rPr>
        <w:t>’</w:t>
      </w:r>
      <w:r w:rsidRPr="009E0E08">
        <w:rPr>
          <w:lang w:val="fr-FR"/>
        </w:rPr>
        <w:t>infraction consiste en l</w:t>
      </w:r>
      <w:r w:rsidR="009E0E08" w:rsidRPr="009E0E08">
        <w:rPr>
          <w:lang w:val="fr-FR"/>
        </w:rPr>
        <w:t>’</w:t>
      </w:r>
      <w:r w:rsidRPr="009E0E08">
        <w:rPr>
          <w:lang w:val="fr-FR"/>
        </w:rPr>
        <w:t>attribution d</w:t>
      </w:r>
      <w:r w:rsidR="009E0E08" w:rsidRPr="009E0E08">
        <w:rPr>
          <w:lang w:val="fr-FR"/>
        </w:rPr>
        <w:t>’</w:t>
      </w:r>
      <w:r w:rsidRPr="009E0E08">
        <w:rPr>
          <w:lang w:val="fr-FR"/>
        </w:rPr>
        <w:t>un fait déterminé, la peine d</w:t>
      </w:r>
      <w:r w:rsidR="009E0E08" w:rsidRPr="009E0E08">
        <w:rPr>
          <w:lang w:val="fr-FR"/>
        </w:rPr>
        <w:t>’</w:t>
      </w:r>
      <w:r w:rsidRPr="009E0E08">
        <w:rPr>
          <w:lang w:val="fr-FR"/>
        </w:rPr>
        <w:t>emprisonnement peut aller jusqu</w:t>
      </w:r>
      <w:r w:rsidR="009E0E08" w:rsidRPr="009E0E08">
        <w:rPr>
          <w:lang w:val="fr-FR"/>
        </w:rPr>
        <w:t>’</w:t>
      </w:r>
      <w:r w:rsidRPr="009E0E08">
        <w:rPr>
          <w:lang w:val="fr-FR"/>
        </w:rPr>
        <w:t>à deux ans et l</w:t>
      </w:r>
      <w:r w:rsidR="009E0E08" w:rsidRPr="009E0E08">
        <w:rPr>
          <w:lang w:val="fr-FR"/>
        </w:rPr>
        <w:t>’</w:t>
      </w:r>
      <w:r w:rsidRPr="009E0E08">
        <w:rPr>
          <w:lang w:val="fr-FR"/>
        </w:rPr>
        <w:t>amende jusqu</w:t>
      </w:r>
      <w:r w:rsidR="009E0E08" w:rsidRPr="009E0E08">
        <w:rPr>
          <w:lang w:val="fr-FR"/>
        </w:rPr>
        <w:t>’</w:t>
      </w:r>
      <w:r w:rsidRPr="009E0E08">
        <w:rPr>
          <w:lang w:val="fr-FR"/>
        </w:rPr>
        <w:t>à 2 065 EUR.</w:t>
      </w:r>
    </w:p>
    <w:p w:rsidR="009C7C1B" w:rsidRPr="009E0E08" w:rsidRDefault="009C7C1B" w:rsidP="009E0E08">
      <w:pPr>
        <w:pStyle w:val="ECHRParaQuote"/>
        <w:rPr>
          <w:lang w:val="fr-FR"/>
        </w:rPr>
      </w:pPr>
      <w:r w:rsidRPr="009E0E08">
        <w:rPr>
          <w:lang w:val="fr-FR"/>
        </w:rPr>
        <w:t>3.</w:t>
      </w:r>
      <w:r w:rsidR="00825C2A" w:rsidRPr="009E0E08">
        <w:rPr>
          <w:lang w:val="fr-FR"/>
        </w:rPr>
        <w:t>  </w:t>
      </w:r>
      <w:r w:rsidRPr="009E0E08">
        <w:rPr>
          <w:lang w:val="fr-FR"/>
        </w:rPr>
        <w:t>Si l</w:t>
      </w:r>
      <w:r w:rsidR="009E0E08" w:rsidRPr="009E0E08">
        <w:rPr>
          <w:lang w:val="fr-FR"/>
        </w:rPr>
        <w:t>’</w:t>
      </w:r>
      <w:r w:rsidRPr="009E0E08">
        <w:rPr>
          <w:lang w:val="fr-FR"/>
        </w:rPr>
        <w:t>infraction est commise par voie de presse (...), la peine d</w:t>
      </w:r>
      <w:r w:rsidR="009E0E08" w:rsidRPr="009E0E08">
        <w:rPr>
          <w:lang w:val="fr-FR"/>
        </w:rPr>
        <w:t>’</w:t>
      </w:r>
      <w:r w:rsidRPr="009E0E08">
        <w:rPr>
          <w:lang w:val="fr-FR"/>
        </w:rPr>
        <w:t>emprisonnement est de six mois à trois ans et l</w:t>
      </w:r>
      <w:r w:rsidR="009E0E08" w:rsidRPr="009E0E08">
        <w:rPr>
          <w:lang w:val="fr-FR"/>
        </w:rPr>
        <w:t>’</w:t>
      </w:r>
      <w:r w:rsidRPr="009E0E08">
        <w:rPr>
          <w:lang w:val="fr-FR"/>
        </w:rPr>
        <w:t>amende non inférieure à 516 EUR.</w:t>
      </w:r>
    </w:p>
    <w:p w:rsidR="009C7C1B" w:rsidRPr="009E0E08" w:rsidRDefault="009C7C1B" w:rsidP="009E0E08">
      <w:pPr>
        <w:pStyle w:val="ECHRParaQuote"/>
        <w:rPr>
          <w:lang w:val="fr-FR"/>
        </w:rPr>
      </w:pPr>
      <w:r w:rsidRPr="009E0E08">
        <w:rPr>
          <w:lang w:val="fr-FR"/>
        </w:rPr>
        <w:t>4.</w:t>
      </w:r>
      <w:r w:rsidR="00825C2A" w:rsidRPr="009E0E08">
        <w:rPr>
          <w:lang w:val="fr-FR"/>
        </w:rPr>
        <w:t>  </w:t>
      </w:r>
      <w:r w:rsidRPr="009E0E08">
        <w:rPr>
          <w:lang w:val="fr-FR"/>
        </w:rPr>
        <w:t>Les peines sont augmentées si l</w:t>
      </w:r>
      <w:r w:rsidR="009E0E08" w:rsidRPr="009E0E08">
        <w:rPr>
          <w:lang w:val="fr-FR"/>
        </w:rPr>
        <w:t>’</w:t>
      </w:r>
      <w:r w:rsidRPr="009E0E08">
        <w:rPr>
          <w:lang w:val="fr-FR"/>
        </w:rPr>
        <w:t>infraction est commise envers un corps politique, administratif ou judiciaire, ou envers l</w:t>
      </w:r>
      <w:r w:rsidR="009E0E08" w:rsidRPr="009E0E08">
        <w:rPr>
          <w:lang w:val="fr-FR"/>
        </w:rPr>
        <w:t>’</w:t>
      </w:r>
      <w:r w:rsidRPr="009E0E08">
        <w:rPr>
          <w:lang w:val="fr-FR"/>
        </w:rPr>
        <w:t>un de ses représentants (</w:t>
      </w:r>
      <w:r w:rsidRPr="009E0E08">
        <w:rPr>
          <w:i/>
          <w:lang w:val="fr-FR"/>
        </w:rPr>
        <w:t>o ad una sua rappresentanza</w:t>
      </w:r>
      <w:r w:rsidRPr="009E0E08">
        <w:rPr>
          <w:lang w:val="fr-FR"/>
        </w:rPr>
        <w:t>) (...) »</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27</w:t>
      </w:r>
      <w:r w:rsidRPr="009E0E08">
        <w:rPr>
          <w:lang w:val="fr-FR"/>
        </w:rPr>
        <w:fldChar w:fldCharType="end"/>
      </w:r>
      <w:r w:rsidRPr="009E0E08">
        <w:rPr>
          <w:lang w:val="fr-FR"/>
        </w:rPr>
        <w:t>.  L</w:t>
      </w:r>
      <w:r w:rsidR="009E0E08" w:rsidRPr="009E0E08">
        <w:rPr>
          <w:lang w:val="fr-FR"/>
        </w:rPr>
        <w:t>’</w:t>
      </w:r>
      <w:r w:rsidRPr="009E0E08">
        <w:rPr>
          <w:lang w:val="fr-FR"/>
        </w:rPr>
        <w:t>article 13 de la loi sur la presse n</w:t>
      </w:r>
      <w:r w:rsidRPr="009E0E08">
        <w:rPr>
          <w:vertAlign w:val="superscript"/>
          <w:lang w:val="fr-FR"/>
        </w:rPr>
        <w:t>o</w:t>
      </w:r>
      <w:r w:rsidRPr="009E0E08">
        <w:rPr>
          <w:lang w:val="fr-FR"/>
        </w:rPr>
        <w:t xml:space="preserve"> 47 du 8 février 1948 (« la loi sur la presse »), publiée au Journal officiel n</w:t>
      </w:r>
      <w:r w:rsidRPr="009E0E08">
        <w:rPr>
          <w:vertAlign w:val="superscript"/>
          <w:lang w:val="fr-FR"/>
        </w:rPr>
        <w:t>o</w:t>
      </w:r>
      <w:r w:rsidRPr="009E0E08">
        <w:rPr>
          <w:lang w:val="fr-FR"/>
        </w:rPr>
        <w:t xml:space="preserve"> 43 du 20 février 1948, est ainsi libellé :</w:t>
      </w:r>
    </w:p>
    <w:p w:rsidR="009C7C1B" w:rsidRPr="009E0E08" w:rsidRDefault="009C7C1B" w:rsidP="009E0E08">
      <w:pPr>
        <w:pStyle w:val="ECHRParaQuote"/>
        <w:rPr>
          <w:lang w:val="fr-FR"/>
        </w:rPr>
      </w:pPr>
      <w:r w:rsidRPr="009E0E08">
        <w:rPr>
          <w:lang w:val="fr-FR"/>
        </w:rPr>
        <w:t>« Lorsque l</w:t>
      </w:r>
      <w:r w:rsidR="009E0E08" w:rsidRPr="009E0E08">
        <w:rPr>
          <w:lang w:val="fr-FR"/>
        </w:rPr>
        <w:t>’</w:t>
      </w:r>
      <w:r w:rsidRPr="009E0E08">
        <w:rPr>
          <w:lang w:val="fr-FR"/>
        </w:rPr>
        <w:t>infraction de diffamation est commise par voie de presse et consiste en l</w:t>
      </w:r>
      <w:r w:rsidR="009E0E08" w:rsidRPr="009E0E08">
        <w:rPr>
          <w:lang w:val="fr-FR"/>
        </w:rPr>
        <w:t>’</w:t>
      </w:r>
      <w:r w:rsidRPr="009E0E08">
        <w:rPr>
          <w:lang w:val="fr-FR"/>
        </w:rPr>
        <w:t>attribution d</w:t>
      </w:r>
      <w:r w:rsidR="009E0E08" w:rsidRPr="009E0E08">
        <w:rPr>
          <w:lang w:val="fr-FR"/>
        </w:rPr>
        <w:t>’</w:t>
      </w:r>
      <w:r w:rsidRPr="009E0E08">
        <w:rPr>
          <w:lang w:val="fr-FR"/>
        </w:rPr>
        <w:t>un fait spécifique, l</w:t>
      </w:r>
      <w:r w:rsidR="009E0E08" w:rsidRPr="009E0E08">
        <w:rPr>
          <w:lang w:val="fr-FR"/>
        </w:rPr>
        <w:t>’</w:t>
      </w:r>
      <w:r w:rsidRPr="009E0E08">
        <w:rPr>
          <w:lang w:val="fr-FR"/>
        </w:rPr>
        <w:t>auteur peut être puni d</w:t>
      </w:r>
      <w:r w:rsidR="009E0E08" w:rsidRPr="009E0E08">
        <w:rPr>
          <w:lang w:val="fr-FR"/>
        </w:rPr>
        <w:t>’</w:t>
      </w:r>
      <w:r w:rsidRPr="009E0E08">
        <w:rPr>
          <w:lang w:val="fr-FR"/>
        </w:rPr>
        <w:t>une peine d</w:t>
      </w:r>
      <w:r w:rsidR="009E0E08" w:rsidRPr="009E0E08">
        <w:rPr>
          <w:lang w:val="fr-FR"/>
        </w:rPr>
        <w:t>’</w:t>
      </w:r>
      <w:r w:rsidRPr="009E0E08">
        <w:rPr>
          <w:lang w:val="fr-FR"/>
        </w:rPr>
        <w:t>emprisonnement allant de un an à six ans et d</w:t>
      </w:r>
      <w:r w:rsidR="009E0E08" w:rsidRPr="009E0E08">
        <w:rPr>
          <w:lang w:val="fr-FR"/>
        </w:rPr>
        <w:t>’</w:t>
      </w:r>
      <w:r w:rsidRPr="009E0E08">
        <w:rPr>
          <w:lang w:val="fr-FR"/>
        </w:rPr>
        <w:t>une amende non inférieure à cent mille lires [51,65 EUR] »</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28</w:t>
      </w:r>
      <w:r w:rsidRPr="009E0E08">
        <w:rPr>
          <w:lang w:val="fr-FR"/>
        </w:rPr>
        <w:fldChar w:fldCharType="end"/>
      </w:r>
      <w:r w:rsidRPr="009E0E08">
        <w:rPr>
          <w:lang w:val="fr-FR"/>
        </w:rPr>
        <w:t>.  Dans son arrêt n</w:t>
      </w:r>
      <w:r w:rsidRPr="009E0E08">
        <w:rPr>
          <w:vertAlign w:val="superscript"/>
          <w:lang w:val="fr-FR"/>
        </w:rPr>
        <w:t>o</w:t>
      </w:r>
      <w:r w:rsidRPr="009E0E08">
        <w:rPr>
          <w:lang w:val="fr-FR"/>
        </w:rPr>
        <w:t xml:space="preserve"> 37140/2001 (publié le 16 octobre 2001), en chambres réunies, la Cour de cassation a fixé les principes en matière de responsabilité pénale des journalistes qui publient un entretien dans lequel des propos diffamatoires sont tenus par l</w:t>
      </w:r>
      <w:r w:rsidR="009E0E08" w:rsidRPr="009E0E08">
        <w:rPr>
          <w:lang w:val="fr-FR"/>
        </w:rPr>
        <w:t>’</w:t>
      </w:r>
      <w:r w:rsidRPr="009E0E08">
        <w:rPr>
          <w:lang w:val="fr-FR"/>
        </w:rPr>
        <w:t>interviewé (voir aussi, parmi beaucoup d</w:t>
      </w:r>
      <w:r w:rsidR="009E0E08" w:rsidRPr="009E0E08">
        <w:rPr>
          <w:lang w:val="fr-FR"/>
        </w:rPr>
        <w:t>’</w:t>
      </w:r>
      <w:r w:rsidRPr="009E0E08">
        <w:rPr>
          <w:lang w:val="fr-FR"/>
        </w:rPr>
        <w:t>autres, les arrêts n</w:t>
      </w:r>
      <w:r w:rsidRPr="009E0E08">
        <w:rPr>
          <w:vertAlign w:val="superscript"/>
          <w:lang w:val="fr-FR"/>
        </w:rPr>
        <w:t>os</w:t>
      </w:r>
      <w:r w:rsidRPr="009E0E08">
        <w:rPr>
          <w:lang w:val="fr-FR"/>
        </w:rPr>
        <w:t xml:space="preserve"> 6911/16, 18889/16 et 2929/18).</w:t>
      </w:r>
    </w:p>
    <w:p w:rsidR="009C7C1B" w:rsidRPr="009E0E08" w:rsidRDefault="009C7C1B" w:rsidP="009E0E08">
      <w:pPr>
        <w:pStyle w:val="ECHRPara"/>
        <w:rPr>
          <w:lang w:val="fr-FR"/>
        </w:rPr>
      </w:pPr>
      <w:r w:rsidRPr="009E0E08">
        <w:rPr>
          <w:lang w:val="fr-FR"/>
        </w:rPr>
        <w:t>Elle a dit que :</w:t>
      </w:r>
    </w:p>
    <w:p w:rsidR="009C7C1B" w:rsidRPr="009E0E08" w:rsidRDefault="009C7C1B" w:rsidP="009E0E08">
      <w:pPr>
        <w:pStyle w:val="ECHRParaQuote"/>
        <w:rPr>
          <w:lang w:val="fr-FR"/>
        </w:rPr>
      </w:pPr>
      <w:r w:rsidRPr="009E0E08">
        <w:rPr>
          <w:lang w:val="fr-FR"/>
        </w:rPr>
        <w:t>« (...) le fait d</w:t>
      </w:r>
      <w:r w:rsidR="009E0E08" w:rsidRPr="009E0E08">
        <w:rPr>
          <w:lang w:val="fr-FR"/>
        </w:rPr>
        <w:t>’</w:t>
      </w:r>
      <w:r w:rsidRPr="009E0E08">
        <w:rPr>
          <w:lang w:val="fr-FR"/>
        </w:rPr>
        <w:t>avoir repris « à la lettre » les déclarations rendues par la personne interviewée, lorsque celles-ci ont un contenu objectivement offensif ou diffamatoire, n</w:t>
      </w:r>
      <w:r w:rsidR="009E0E08" w:rsidRPr="009E0E08">
        <w:rPr>
          <w:lang w:val="fr-FR"/>
        </w:rPr>
        <w:t>’</w:t>
      </w:r>
      <w:r w:rsidRPr="009E0E08">
        <w:rPr>
          <w:lang w:val="fr-FR"/>
        </w:rPr>
        <w:t>implique pas l</w:t>
      </w:r>
      <w:r w:rsidR="009E0E08" w:rsidRPr="009E0E08">
        <w:rPr>
          <w:lang w:val="fr-FR"/>
        </w:rPr>
        <w:t>’</w:t>
      </w:r>
      <w:r w:rsidRPr="009E0E08">
        <w:rPr>
          <w:lang w:val="fr-FR"/>
        </w:rPr>
        <w:t>application du droit de chronique.</w:t>
      </w:r>
    </w:p>
    <w:p w:rsidR="009C7C1B" w:rsidRPr="009E0E08" w:rsidRDefault="009C7C1B" w:rsidP="009E0E08">
      <w:pPr>
        <w:pStyle w:val="ECHRParaQuote"/>
        <w:rPr>
          <w:lang w:val="fr-FR"/>
        </w:rPr>
      </w:pPr>
      <w:r w:rsidRPr="009E0E08">
        <w:rPr>
          <w:lang w:val="fr-FR"/>
        </w:rPr>
        <w:t>Le journaliste peut toutefois invoquer le droit de chronique lorsque l</w:t>
      </w:r>
      <w:r w:rsidR="009E0E08" w:rsidRPr="009E0E08">
        <w:rPr>
          <w:lang w:val="fr-FR"/>
        </w:rPr>
        <w:t>’</w:t>
      </w:r>
      <w:r w:rsidRPr="009E0E08">
        <w:rPr>
          <w:lang w:val="fr-FR"/>
        </w:rPr>
        <w:t>entretien répond en tant que telle, en relation à la qualité des sujets impliqués, au sujet de discussion ou au plus général contexte de l</w:t>
      </w:r>
      <w:r w:rsidR="009E0E08" w:rsidRPr="009E0E08">
        <w:rPr>
          <w:lang w:val="fr-FR"/>
        </w:rPr>
        <w:t>’</w:t>
      </w:r>
      <w:r w:rsidRPr="009E0E08">
        <w:rPr>
          <w:lang w:val="fr-FR"/>
        </w:rPr>
        <w:t>entretien, à l</w:t>
      </w:r>
      <w:r w:rsidR="009E0E08" w:rsidRPr="009E0E08">
        <w:rPr>
          <w:lang w:val="fr-FR"/>
        </w:rPr>
        <w:t>’</w:t>
      </w:r>
      <w:r w:rsidRPr="009E0E08">
        <w:rPr>
          <w:lang w:val="fr-FR"/>
        </w:rPr>
        <w:t>intérêt du public à recevoir l</w:t>
      </w:r>
      <w:r w:rsidR="009E0E08" w:rsidRPr="009E0E08">
        <w:rPr>
          <w:lang w:val="fr-FR"/>
        </w:rPr>
        <w:t>’</w:t>
      </w:r>
      <w:r w:rsidRPr="009E0E08">
        <w:rPr>
          <w:lang w:val="fr-FR"/>
        </w:rPr>
        <w:t>information, l</w:t>
      </w:r>
      <w:r w:rsidR="009E0E08" w:rsidRPr="009E0E08">
        <w:rPr>
          <w:lang w:val="fr-FR"/>
        </w:rPr>
        <w:t>’</w:t>
      </w:r>
      <w:r w:rsidRPr="009E0E08">
        <w:rPr>
          <w:lang w:val="fr-FR"/>
        </w:rPr>
        <w:t>emportant sur la position subjective individuelle. Dans ce cas, le journaliste pourra invoquer le droit de chronique même en cas de propos offensifs de l</w:t>
      </w:r>
      <w:r w:rsidR="009E0E08" w:rsidRPr="009E0E08">
        <w:rPr>
          <w:lang w:val="fr-FR"/>
        </w:rPr>
        <w:t>’</w:t>
      </w:r>
      <w:r w:rsidRPr="009E0E08">
        <w:rPr>
          <w:lang w:val="fr-FR"/>
        </w:rPr>
        <w:t>interviewé, lorsque l</w:t>
      </w:r>
      <w:r w:rsidR="009E0E08" w:rsidRPr="009E0E08">
        <w:rPr>
          <w:lang w:val="fr-FR"/>
        </w:rPr>
        <w:t>’</w:t>
      </w:r>
      <w:r w:rsidRPr="009E0E08">
        <w:rPr>
          <w:lang w:val="fr-FR"/>
        </w:rPr>
        <w:t>entretien assume le caractère d</w:t>
      </w:r>
      <w:r w:rsidR="009E0E08" w:rsidRPr="009E0E08">
        <w:rPr>
          <w:lang w:val="fr-FR"/>
        </w:rPr>
        <w:t>’</w:t>
      </w:r>
      <w:r w:rsidRPr="009E0E08">
        <w:rPr>
          <w:lang w:val="fr-FR"/>
        </w:rPr>
        <w:t>un évènement d</w:t>
      </w:r>
      <w:r w:rsidR="009E0E08" w:rsidRPr="009E0E08">
        <w:rPr>
          <w:lang w:val="fr-FR"/>
        </w:rPr>
        <w:t>’</w:t>
      </w:r>
      <w:r w:rsidRPr="009E0E08">
        <w:rPr>
          <w:lang w:val="fr-FR"/>
        </w:rPr>
        <w:t>intérêt public, par exemple lorsque la personne interviewée occupe une fonction publique de relief ou est bien connue dans un environnement précis (...) ».</w:t>
      </w:r>
    </w:p>
    <w:p w:rsidR="009C7C1B" w:rsidRPr="009E0E08" w:rsidRDefault="009C7C1B" w:rsidP="009E0E08">
      <w:pPr>
        <w:pStyle w:val="ECHRTitle1"/>
        <w:rPr>
          <w:lang w:val="fr-FR"/>
        </w:rPr>
      </w:pPr>
      <w:r w:rsidRPr="009E0E08">
        <w:rPr>
          <w:lang w:val="fr-FR"/>
        </w:rPr>
        <w:t>EN DROIT</w:t>
      </w:r>
    </w:p>
    <w:p w:rsidR="009C7C1B" w:rsidRPr="009E0E08" w:rsidRDefault="009C7C1B" w:rsidP="009E0E08">
      <w:pPr>
        <w:pStyle w:val="ECHRHeading1"/>
        <w:rPr>
          <w:lang w:val="fr-FR"/>
        </w:rPr>
      </w:pPr>
      <w:r w:rsidRPr="009E0E08">
        <w:rPr>
          <w:lang w:val="fr-FR"/>
        </w:rPr>
        <w:t>I.  SUR LA VIOLATION ALLÉGUÉE DE L</w:t>
      </w:r>
      <w:r w:rsidR="009E0E08" w:rsidRPr="009E0E08">
        <w:rPr>
          <w:lang w:val="fr-FR"/>
        </w:rPr>
        <w:t>’</w:t>
      </w:r>
      <w:r w:rsidRPr="009E0E08">
        <w:rPr>
          <w:lang w:val="fr-FR"/>
        </w:rPr>
        <w:t>ARTICLE 10 DE LA CONVENTION</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29</w:t>
      </w:r>
      <w:r w:rsidRPr="009E0E08">
        <w:rPr>
          <w:lang w:val="fr-FR"/>
        </w:rPr>
        <w:fldChar w:fldCharType="end"/>
      </w:r>
      <w:r w:rsidRPr="009E0E08">
        <w:rPr>
          <w:lang w:val="fr-FR"/>
        </w:rPr>
        <w:t>.  Les requérants allèguent que les décisions internes prises contre eux ont entraîné une ingérence dans leur droit à la liberté d</w:t>
      </w:r>
      <w:r w:rsidR="009E0E08" w:rsidRPr="009E0E08">
        <w:rPr>
          <w:lang w:val="fr-FR"/>
        </w:rPr>
        <w:t>’</w:t>
      </w:r>
      <w:r w:rsidRPr="009E0E08">
        <w:rPr>
          <w:lang w:val="fr-FR"/>
        </w:rPr>
        <w:t>expression qui, selon eux, n</w:t>
      </w:r>
      <w:r w:rsidR="009E0E08" w:rsidRPr="009E0E08">
        <w:rPr>
          <w:lang w:val="fr-FR"/>
        </w:rPr>
        <w:t>’</w:t>
      </w:r>
      <w:r w:rsidRPr="009E0E08">
        <w:rPr>
          <w:lang w:val="fr-FR"/>
        </w:rPr>
        <w:t>était pas nécessaire dans une société démocratique. Ils voient dans cette ingérence une violation de l</w:t>
      </w:r>
      <w:r w:rsidR="009E0E08" w:rsidRPr="009E0E08">
        <w:rPr>
          <w:lang w:val="fr-FR"/>
        </w:rPr>
        <w:t>’</w:t>
      </w:r>
      <w:r w:rsidRPr="009E0E08">
        <w:rPr>
          <w:lang w:val="fr-FR"/>
        </w:rPr>
        <w:t>article 10 de la Convention, ainsi libellé :</w:t>
      </w:r>
    </w:p>
    <w:p w:rsidR="009C7C1B" w:rsidRPr="009E0E08" w:rsidRDefault="009C7C1B" w:rsidP="009E0E08">
      <w:pPr>
        <w:pStyle w:val="ECHRParaQuote"/>
        <w:rPr>
          <w:lang w:val="fr-FR"/>
        </w:rPr>
      </w:pPr>
      <w:r w:rsidRPr="009E0E08">
        <w:rPr>
          <w:lang w:val="fr-FR"/>
        </w:rPr>
        <w:t>« 1.  Toute personne a droit à la liberté d</w:t>
      </w:r>
      <w:r w:rsidR="009E0E08" w:rsidRPr="009E0E08">
        <w:rPr>
          <w:lang w:val="fr-FR"/>
        </w:rPr>
        <w:t>’</w:t>
      </w:r>
      <w:r w:rsidRPr="009E0E08">
        <w:rPr>
          <w:lang w:val="fr-FR"/>
        </w:rPr>
        <w:t>expression. Ce droit comprend la liberté d</w:t>
      </w:r>
      <w:r w:rsidR="009E0E08" w:rsidRPr="009E0E08">
        <w:rPr>
          <w:lang w:val="fr-FR"/>
        </w:rPr>
        <w:t>’</w:t>
      </w:r>
      <w:r w:rsidRPr="009E0E08">
        <w:rPr>
          <w:lang w:val="fr-FR"/>
        </w:rPr>
        <w:t>opinion et la liberté de recevoir ou de communiquer des informations ou des idées sans qu</w:t>
      </w:r>
      <w:r w:rsidR="009E0E08" w:rsidRPr="009E0E08">
        <w:rPr>
          <w:lang w:val="fr-FR"/>
        </w:rPr>
        <w:t>’</w:t>
      </w:r>
      <w:r w:rsidRPr="009E0E08">
        <w:rPr>
          <w:lang w:val="fr-FR"/>
        </w:rPr>
        <w:t>il puisse y avoir ingérence d</w:t>
      </w:r>
      <w:r w:rsidR="009E0E08" w:rsidRPr="009E0E08">
        <w:rPr>
          <w:lang w:val="fr-FR"/>
        </w:rPr>
        <w:t>’</w:t>
      </w:r>
      <w:r w:rsidRPr="009E0E08">
        <w:rPr>
          <w:lang w:val="fr-FR"/>
        </w:rPr>
        <w:t>autorités publiques et sans considération de frontière. (...)</w:t>
      </w:r>
    </w:p>
    <w:p w:rsidR="009C7C1B" w:rsidRPr="009E0E08" w:rsidRDefault="009C7C1B" w:rsidP="009E0E08">
      <w:pPr>
        <w:pStyle w:val="ECHRParaQuote"/>
        <w:rPr>
          <w:lang w:val="fr-FR"/>
        </w:rPr>
      </w:pPr>
      <w:r w:rsidRPr="009E0E08">
        <w:rPr>
          <w:lang w:val="fr-FR"/>
        </w:rPr>
        <w:t>2.  L</w:t>
      </w:r>
      <w:r w:rsidR="009E0E08" w:rsidRPr="009E0E08">
        <w:rPr>
          <w:lang w:val="fr-FR"/>
        </w:rPr>
        <w:t>’</w:t>
      </w:r>
      <w:r w:rsidRPr="009E0E08">
        <w:rPr>
          <w:lang w:val="fr-FR"/>
        </w:rPr>
        <w:t>exercice de ces libertés comportant des devoirs et des responsabilités peut être soumis à certaines formalités, conditions, restrictions ou sanctions prévues par la loi, qui constituent des mesures nécessaires, dans une société démocratique, à la sécurité nationale, à l</w:t>
      </w:r>
      <w:r w:rsidR="009E0E08" w:rsidRPr="009E0E08">
        <w:rPr>
          <w:lang w:val="fr-FR"/>
        </w:rPr>
        <w:t>’</w:t>
      </w:r>
      <w:r w:rsidRPr="009E0E08">
        <w:rPr>
          <w:lang w:val="fr-FR"/>
        </w:rPr>
        <w:t>intégrité territoriale ou à la sûreté publique, à la défense de l</w:t>
      </w:r>
      <w:r w:rsidR="009E0E08" w:rsidRPr="009E0E08">
        <w:rPr>
          <w:lang w:val="fr-FR"/>
        </w:rPr>
        <w:t>’</w:t>
      </w:r>
      <w:r w:rsidRPr="009E0E08">
        <w:rPr>
          <w:lang w:val="fr-FR"/>
        </w:rPr>
        <w:t>ordre et à la prévention du crime, à la protection de la santé ou de la morale, à la protection de la réputation ou des droits d</w:t>
      </w:r>
      <w:r w:rsidR="009E0E08" w:rsidRPr="009E0E08">
        <w:rPr>
          <w:lang w:val="fr-FR"/>
        </w:rPr>
        <w:t>’</w:t>
      </w:r>
      <w:r w:rsidRPr="009E0E08">
        <w:rPr>
          <w:lang w:val="fr-FR"/>
        </w:rPr>
        <w:t>autrui, pour empêcher la divulgation d</w:t>
      </w:r>
      <w:r w:rsidR="009E0E08" w:rsidRPr="009E0E08">
        <w:rPr>
          <w:lang w:val="fr-FR"/>
        </w:rPr>
        <w:t>’</w:t>
      </w:r>
      <w:r w:rsidRPr="009E0E08">
        <w:rPr>
          <w:lang w:val="fr-FR"/>
        </w:rPr>
        <w:t>informations confidentielles ou pour garantir l</w:t>
      </w:r>
      <w:r w:rsidR="009E0E08" w:rsidRPr="009E0E08">
        <w:rPr>
          <w:lang w:val="fr-FR"/>
        </w:rPr>
        <w:t>’</w:t>
      </w:r>
      <w:r w:rsidRPr="009E0E08">
        <w:rPr>
          <w:lang w:val="fr-FR"/>
        </w:rPr>
        <w:t>autorité et l</w:t>
      </w:r>
      <w:r w:rsidR="009E0E08" w:rsidRPr="009E0E08">
        <w:rPr>
          <w:lang w:val="fr-FR"/>
        </w:rPr>
        <w:t>’</w:t>
      </w:r>
      <w:r w:rsidRPr="009E0E08">
        <w:rPr>
          <w:lang w:val="fr-FR"/>
        </w:rPr>
        <w:t>impartialité du pouvoir judiciaire. »</w:t>
      </w:r>
    </w:p>
    <w:p w:rsidR="009C7C1B" w:rsidRPr="009E0E08" w:rsidRDefault="009C7C1B" w:rsidP="009E0E08">
      <w:pPr>
        <w:pStyle w:val="ECHRHeading2"/>
        <w:rPr>
          <w:lang w:val="fr-FR"/>
        </w:rPr>
      </w:pPr>
      <w:r w:rsidRPr="009E0E08">
        <w:rPr>
          <w:lang w:val="fr-FR"/>
        </w:rPr>
        <w:t>A.  Sur la recevabilité</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30</w:t>
      </w:r>
      <w:r w:rsidRPr="009E0E08">
        <w:rPr>
          <w:lang w:val="fr-FR"/>
        </w:rPr>
        <w:fldChar w:fldCharType="end"/>
      </w:r>
      <w:r w:rsidRPr="009E0E08">
        <w:rPr>
          <w:lang w:val="fr-FR"/>
        </w:rPr>
        <w:t>.  Le Gouvernement soulève une exception de tardiveté de la requête. Il soutient notamment que la décision interne définitive est datée du 28</w:t>
      </w:r>
      <w:r w:rsidR="009E4339" w:rsidRPr="009E0E08">
        <w:rPr>
          <w:lang w:val="fr-FR"/>
        </w:rPr>
        <w:t> </w:t>
      </w:r>
      <w:r w:rsidRPr="009E0E08">
        <w:rPr>
          <w:lang w:val="fr-FR"/>
        </w:rPr>
        <w:t>mars</w:t>
      </w:r>
      <w:r w:rsidR="009E4339" w:rsidRPr="009E0E08">
        <w:rPr>
          <w:lang w:val="fr-FR"/>
        </w:rPr>
        <w:t> </w:t>
      </w:r>
      <w:r w:rsidRPr="009E0E08">
        <w:rPr>
          <w:lang w:val="fr-FR"/>
        </w:rPr>
        <w:t>2011 et qu</w:t>
      </w:r>
      <w:r w:rsidR="009E0E08" w:rsidRPr="009E0E08">
        <w:rPr>
          <w:lang w:val="fr-FR"/>
        </w:rPr>
        <w:t>’</w:t>
      </w:r>
      <w:r w:rsidRPr="009E0E08">
        <w:rPr>
          <w:lang w:val="fr-FR"/>
        </w:rPr>
        <w:t>il n</w:t>
      </w:r>
      <w:r w:rsidR="009E0E08" w:rsidRPr="009E0E08">
        <w:rPr>
          <w:lang w:val="fr-FR"/>
        </w:rPr>
        <w:t>’</w:t>
      </w:r>
      <w:r w:rsidRPr="009E0E08">
        <w:rPr>
          <w:lang w:val="fr-FR"/>
        </w:rPr>
        <w:t>est pas établi que les requérants ont introduit leur requête le 16 septembre 2011.</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31</w:t>
      </w:r>
      <w:r w:rsidRPr="009E0E08">
        <w:rPr>
          <w:lang w:val="fr-FR"/>
        </w:rPr>
        <w:fldChar w:fldCharType="end"/>
      </w:r>
      <w:r w:rsidRPr="009E0E08">
        <w:rPr>
          <w:lang w:val="fr-FR"/>
        </w:rPr>
        <w:t>.  Les requérants contestent cette thèse. Ils indiquent notamment qu</w:t>
      </w:r>
      <w:r w:rsidR="009E0E08" w:rsidRPr="009E0E08">
        <w:rPr>
          <w:lang w:val="fr-FR"/>
        </w:rPr>
        <w:t>’</w:t>
      </w:r>
      <w:r w:rsidRPr="009E0E08">
        <w:rPr>
          <w:lang w:val="fr-FR"/>
        </w:rPr>
        <w:t>ils ont saisi la Cour le 16 septembre 2011, cette date correspondant d</w:t>
      </w:r>
      <w:r w:rsidR="009E0E08" w:rsidRPr="009E0E08">
        <w:rPr>
          <w:lang w:val="fr-FR"/>
        </w:rPr>
        <w:t>’</w:t>
      </w:r>
      <w:r w:rsidRPr="009E0E08">
        <w:rPr>
          <w:lang w:val="fr-FR"/>
        </w:rPr>
        <w:t>après eux à la date d</w:t>
      </w:r>
      <w:r w:rsidR="009E0E08" w:rsidRPr="009E0E08">
        <w:rPr>
          <w:lang w:val="fr-FR"/>
        </w:rPr>
        <w:t>’</w:t>
      </w:r>
      <w:r w:rsidRPr="009E0E08">
        <w:rPr>
          <w:lang w:val="fr-FR"/>
        </w:rPr>
        <w:t>envoi de leur requête. À l</w:t>
      </w:r>
      <w:r w:rsidR="009E0E08" w:rsidRPr="009E0E08">
        <w:rPr>
          <w:lang w:val="fr-FR"/>
        </w:rPr>
        <w:t>’</w:t>
      </w:r>
      <w:r w:rsidRPr="009E0E08">
        <w:rPr>
          <w:lang w:val="fr-FR"/>
        </w:rPr>
        <w:t>appui de leurs dires, ils fournissent une copie des documents prouvant que la requête a été envoyée le 16 septembre 2011 et, selon le récépissé du recommandé avec accusé de réception, reçue le 22 septembre 2011 par le greffe de la Cour.</w:t>
      </w:r>
    </w:p>
    <w:p w:rsidR="009C7C1B" w:rsidRPr="009E0E08" w:rsidRDefault="009C7C1B" w:rsidP="009E0E08">
      <w:pPr>
        <w:pStyle w:val="ECHRPara"/>
        <w:rPr>
          <w:i/>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32</w:t>
      </w:r>
      <w:r w:rsidRPr="009E0E08">
        <w:rPr>
          <w:lang w:val="fr-FR"/>
        </w:rPr>
        <w:fldChar w:fldCharType="end"/>
      </w:r>
      <w:r w:rsidRPr="009E0E08">
        <w:rPr>
          <w:lang w:val="fr-FR"/>
        </w:rPr>
        <w:t>.  </w:t>
      </w:r>
      <w:r w:rsidRPr="009E0E08">
        <w:rPr>
          <w:szCs w:val="24"/>
          <w:lang w:val="fr-FR"/>
        </w:rPr>
        <w:t xml:space="preserve">La Cour rappelle que le délai de six mois </w:t>
      </w:r>
      <w:r w:rsidRPr="009E0E08">
        <w:rPr>
          <w:lang w:val="fr-FR"/>
        </w:rPr>
        <w:t>prévu à l</w:t>
      </w:r>
      <w:r w:rsidR="009E0E08" w:rsidRPr="009E0E08">
        <w:rPr>
          <w:lang w:val="fr-FR"/>
        </w:rPr>
        <w:t>’</w:t>
      </w:r>
      <w:r w:rsidRPr="009E0E08">
        <w:rPr>
          <w:lang w:val="fr-FR"/>
        </w:rPr>
        <w:t xml:space="preserve">article 35 § 1 de la Convention </w:t>
      </w:r>
      <w:r w:rsidRPr="009E0E08">
        <w:rPr>
          <w:szCs w:val="24"/>
          <w:lang w:val="fr-FR"/>
        </w:rPr>
        <w:t>court à compter de la date de la décision interne définitive (</w:t>
      </w:r>
      <w:r w:rsidRPr="009E0E08">
        <w:rPr>
          <w:i/>
          <w:szCs w:val="24"/>
          <w:lang w:val="fr-FR"/>
        </w:rPr>
        <w:t>dies a quo</w:t>
      </w:r>
      <w:r w:rsidRPr="009E0E08">
        <w:rPr>
          <w:szCs w:val="24"/>
          <w:lang w:val="fr-FR"/>
        </w:rPr>
        <w:t xml:space="preserve">), à savoir la date à laquelle le requérant a effectivement pris connaissance de la décision en question </w:t>
      </w:r>
      <w:r w:rsidRPr="009E0E08">
        <w:rPr>
          <w:lang w:val="fr-FR"/>
        </w:rPr>
        <w:t>(voir, parmi beaucoup d</w:t>
      </w:r>
      <w:r w:rsidR="009E0E08" w:rsidRPr="009E0E08">
        <w:rPr>
          <w:lang w:val="fr-FR"/>
        </w:rPr>
        <w:t>’</w:t>
      </w:r>
      <w:r w:rsidRPr="009E0E08">
        <w:rPr>
          <w:lang w:val="fr-FR"/>
        </w:rPr>
        <w:t xml:space="preserve">autres, </w:t>
      </w:r>
      <w:r w:rsidRPr="009E0E08">
        <w:rPr>
          <w:i/>
          <w:lang w:val="fr-FR"/>
        </w:rPr>
        <w:t>Sabri Güneş c. Turquie</w:t>
      </w:r>
      <w:r w:rsidRPr="009E0E08">
        <w:rPr>
          <w:lang w:val="fr-FR"/>
        </w:rPr>
        <w:t xml:space="preserve"> [GC]</w:t>
      </w:r>
      <w:r w:rsidRPr="009E0E08">
        <w:rPr>
          <w:snapToGrid w:val="0"/>
          <w:lang w:val="fr-FR"/>
        </w:rPr>
        <w:t>, n</w:t>
      </w:r>
      <w:r w:rsidRPr="009E0E08">
        <w:rPr>
          <w:snapToGrid w:val="0"/>
          <w:vertAlign w:val="superscript"/>
          <w:lang w:val="fr-FR"/>
        </w:rPr>
        <w:t>o</w:t>
      </w:r>
      <w:r w:rsidRPr="009E0E08">
        <w:rPr>
          <w:snapToGrid w:val="0"/>
          <w:lang w:val="fr-FR"/>
        </w:rPr>
        <w:t xml:space="preserve"> </w:t>
      </w:r>
      <w:r w:rsidRPr="009E0E08">
        <w:rPr>
          <w:lang w:val="fr-FR"/>
        </w:rPr>
        <w:t>27396/06</w:t>
      </w:r>
      <w:r w:rsidRPr="009E0E08">
        <w:rPr>
          <w:snapToGrid w:val="0"/>
          <w:lang w:val="fr-FR"/>
        </w:rPr>
        <w:t>, § 60, 29 juin 2012</w:t>
      </w:r>
      <w:r w:rsidRPr="009E0E08">
        <w:rPr>
          <w:lang w:val="fr-FR"/>
        </w:rPr>
        <w:t xml:space="preserve">). Elle rappelle également que </w:t>
      </w:r>
      <w:r w:rsidRPr="009E0E08">
        <w:rPr>
          <w:szCs w:val="24"/>
          <w:lang w:val="fr-FR"/>
        </w:rPr>
        <w:t>la date à prendre en considération pour le calcul du respect du délai de six mois (</w:t>
      </w:r>
      <w:r w:rsidRPr="009E0E08">
        <w:rPr>
          <w:i/>
          <w:szCs w:val="24"/>
          <w:lang w:val="fr-FR"/>
        </w:rPr>
        <w:t>dies ad quem</w:t>
      </w:r>
      <w:r w:rsidRPr="009E0E08">
        <w:rPr>
          <w:szCs w:val="24"/>
          <w:lang w:val="fr-FR"/>
        </w:rPr>
        <w:t>) est celle de l</w:t>
      </w:r>
      <w:r w:rsidR="009E0E08" w:rsidRPr="009E0E08">
        <w:rPr>
          <w:szCs w:val="24"/>
          <w:lang w:val="fr-FR"/>
        </w:rPr>
        <w:t>’</w:t>
      </w:r>
      <w:r w:rsidRPr="009E0E08">
        <w:rPr>
          <w:szCs w:val="24"/>
          <w:lang w:val="fr-FR"/>
        </w:rPr>
        <w:t>introduction de la requête ou celle de son envoi, le cachet de la poste faisant foi, conformément à l</w:t>
      </w:r>
      <w:r w:rsidR="009E0E08" w:rsidRPr="009E0E08">
        <w:rPr>
          <w:szCs w:val="24"/>
          <w:lang w:val="fr-FR"/>
        </w:rPr>
        <w:t>’</w:t>
      </w:r>
      <w:r w:rsidRPr="009E0E08">
        <w:rPr>
          <w:szCs w:val="24"/>
          <w:lang w:val="fr-FR"/>
        </w:rPr>
        <w:t>article 47 § 6 a) de son règlement, et non pas celle du cachet de réception apposé sur la requête (</w:t>
      </w:r>
      <w:r w:rsidRPr="009E0E08">
        <w:rPr>
          <w:i/>
          <w:lang w:val="fr-FR"/>
        </w:rPr>
        <w:t>Vasiliauskas c. Lituanie</w:t>
      </w:r>
      <w:r w:rsidRPr="009E0E08">
        <w:rPr>
          <w:lang w:val="fr-FR"/>
        </w:rPr>
        <w:t xml:space="preserve"> [GC], n</w:t>
      </w:r>
      <w:r w:rsidRPr="009E0E08">
        <w:rPr>
          <w:vertAlign w:val="superscript"/>
          <w:lang w:val="fr-FR"/>
        </w:rPr>
        <w:t>o </w:t>
      </w:r>
      <w:r w:rsidRPr="009E0E08">
        <w:rPr>
          <w:lang w:val="fr-FR"/>
        </w:rPr>
        <w:t>35343/05, § 117, CEDH 2015)</w:t>
      </w:r>
      <w:r w:rsidRPr="009E0E08">
        <w:rPr>
          <w:szCs w:val="24"/>
          <w:lang w:val="fr-FR"/>
        </w:rPr>
        <w:t>.</w:t>
      </w:r>
    </w:p>
    <w:p w:rsidR="009C7C1B" w:rsidRPr="009E0E08" w:rsidRDefault="009C7C1B" w:rsidP="009E0E08">
      <w:pPr>
        <w:pStyle w:val="ECHRPara"/>
        <w:rPr>
          <w:szCs w:val="24"/>
          <w:lang w:val="fr-FR"/>
        </w:rPr>
      </w:pPr>
      <w:r w:rsidRPr="009E0E08">
        <w:rPr>
          <w:szCs w:val="24"/>
          <w:lang w:val="fr-FR"/>
        </w:rPr>
        <w:fldChar w:fldCharType="begin"/>
      </w:r>
      <w:r w:rsidRPr="009E0E08">
        <w:rPr>
          <w:szCs w:val="24"/>
          <w:lang w:val="fr-FR"/>
        </w:rPr>
        <w:instrText xml:space="preserve"> SEQ level0 \*arabic </w:instrText>
      </w:r>
      <w:r w:rsidRPr="009E0E08">
        <w:rPr>
          <w:szCs w:val="24"/>
          <w:lang w:val="fr-FR"/>
        </w:rPr>
        <w:fldChar w:fldCharType="separate"/>
      </w:r>
      <w:r w:rsidR="009E0E08" w:rsidRPr="009E0E08">
        <w:rPr>
          <w:noProof/>
          <w:szCs w:val="24"/>
          <w:lang w:val="fr-FR"/>
        </w:rPr>
        <w:t>33</w:t>
      </w:r>
      <w:r w:rsidRPr="009E0E08">
        <w:rPr>
          <w:szCs w:val="24"/>
          <w:lang w:val="fr-FR"/>
        </w:rPr>
        <w:fldChar w:fldCharType="end"/>
      </w:r>
      <w:r w:rsidRPr="009E0E08">
        <w:rPr>
          <w:szCs w:val="24"/>
          <w:lang w:val="fr-FR"/>
        </w:rPr>
        <w:t>.  En l</w:t>
      </w:r>
      <w:r w:rsidR="009E0E08" w:rsidRPr="009E0E08">
        <w:rPr>
          <w:szCs w:val="24"/>
          <w:lang w:val="fr-FR"/>
        </w:rPr>
        <w:t>’</w:t>
      </w:r>
      <w:r w:rsidRPr="009E0E08">
        <w:rPr>
          <w:szCs w:val="24"/>
          <w:lang w:val="fr-FR"/>
        </w:rPr>
        <w:t>occurrence, l</w:t>
      </w:r>
      <w:r w:rsidRPr="009E0E08">
        <w:rPr>
          <w:lang w:val="fr-FR"/>
        </w:rPr>
        <w:t>a Cour observe que la décision interne définitive est l</w:t>
      </w:r>
      <w:r w:rsidR="009E0E08" w:rsidRPr="009E0E08">
        <w:rPr>
          <w:lang w:val="fr-FR"/>
        </w:rPr>
        <w:t>’</w:t>
      </w:r>
      <w:r w:rsidRPr="009E0E08">
        <w:rPr>
          <w:lang w:val="fr-FR"/>
        </w:rPr>
        <w:t>arrêt de la Cour de cassation, déposé le 28 mars 2011. Après examen des pièces produites par les intéressés, elle note que l</w:t>
      </w:r>
      <w:r w:rsidR="009E0E08" w:rsidRPr="009E0E08">
        <w:rPr>
          <w:lang w:val="fr-FR"/>
        </w:rPr>
        <w:t>’</w:t>
      </w:r>
      <w:r w:rsidRPr="009E0E08">
        <w:rPr>
          <w:lang w:val="fr-FR"/>
        </w:rPr>
        <w:t>enveloppe contenant la requête a été expédiée le 16 septembre 2011, date du cachet de la poste italienne. Dès lors, la Cour</w:t>
      </w:r>
      <w:r w:rsidRPr="009E0E08">
        <w:rPr>
          <w:szCs w:val="24"/>
          <w:lang w:val="fr-FR"/>
        </w:rPr>
        <w:t xml:space="preserve"> estime que la requête a bien été introduite dans les six mois à compter de la date de la décision interne définitive.</w:t>
      </w:r>
    </w:p>
    <w:p w:rsidR="009C7C1B" w:rsidRPr="009E0E08" w:rsidRDefault="009C7C1B" w:rsidP="009E0E08">
      <w:pPr>
        <w:pStyle w:val="ECHRPara"/>
        <w:rPr>
          <w:szCs w:val="24"/>
          <w:lang w:val="fr-FR"/>
        </w:rPr>
      </w:pPr>
      <w:r w:rsidRPr="009E0E08">
        <w:rPr>
          <w:szCs w:val="24"/>
          <w:lang w:val="fr-FR"/>
        </w:rPr>
        <w:fldChar w:fldCharType="begin"/>
      </w:r>
      <w:r w:rsidRPr="009E0E08">
        <w:rPr>
          <w:szCs w:val="24"/>
          <w:lang w:val="fr-FR"/>
        </w:rPr>
        <w:instrText xml:space="preserve"> SEQ level0 \*arabic </w:instrText>
      </w:r>
      <w:r w:rsidRPr="009E0E08">
        <w:rPr>
          <w:szCs w:val="24"/>
          <w:lang w:val="fr-FR"/>
        </w:rPr>
        <w:fldChar w:fldCharType="separate"/>
      </w:r>
      <w:r w:rsidR="009E0E08" w:rsidRPr="009E0E08">
        <w:rPr>
          <w:noProof/>
          <w:szCs w:val="24"/>
          <w:lang w:val="fr-FR"/>
        </w:rPr>
        <w:t>34</w:t>
      </w:r>
      <w:r w:rsidRPr="009E0E08">
        <w:rPr>
          <w:szCs w:val="24"/>
          <w:lang w:val="fr-FR"/>
        </w:rPr>
        <w:fldChar w:fldCharType="end"/>
      </w:r>
      <w:r w:rsidRPr="009E0E08">
        <w:rPr>
          <w:szCs w:val="24"/>
          <w:lang w:val="fr-FR"/>
        </w:rPr>
        <w:t>.  Partant, elle rejette l</w:t>
      </w:r>
      <w:r w:rsidR="009E0E08" w:rsidRPr="009E0E08">
        <w:rPr>
          <w:szCs w:val="24"/>
          <w:lang w:val="fr-FR"/>
        </w:rPr>
        <w:t>’</w:t>
      </w:r>
      <w:r w:rsidRPr="009E0E08">
        <w:rPr>
          <w:szCs w:val="24"/>
          <w:lang w:val="fr-FR"/>
        </w:rPr>
        <w:t>exception du Gouvernement.</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35</w:t>
      </w:r>
      <w:r w:rsidRPr="009E0E08">
        <w:rPr>
          <w:lang w:val="fr-FR"/>
        </w:rPr>
        <w:fldChar w:fldCharType="end"/>
      </w:r>
      <w:r w:rsidRPr="009E0E08">
        <w:rPr>
          <w:lang w:val="fr-FR"/>
        </w:rPr>
        <w:t>.  Constatant que la requête n</w:t>
      </w:r>
      <w:r w:rsidR="009E0E08" w:rsidRPr="009E0E08">
        <w:rPr>
          <w:lang w:val="fr-FR"/>
        </w:rPr>
        <w:t>’</w:t>
      </w:r>
      <w:r w:rsidRPr="009E0E08">
        <w:rPr>
          <w:lang w:val="fr-FR"/>
        </w:rPr>
        <w:t>est pas manifestement mal fondée au sens de l</w:t>
      </w:r>
      <w:r w:rsidR="009E0E08" w:rsidRPr="009E0E08">
        <w:rPr>
          <w:lang w:val="fr-FR"/>
        </w:rPr>
        <w:t>’</w:t>
      </w:r>
      <w:r w:rsidRPr="009E0E08">
        <w:rPr>
          <w:lang w:val="fr-FR"/>
        </w:rPr>
        <w:t>article</w:t>
      </w:r>
      <w:r w:rsidR="00F8223C" w:rsidRPr="009E0E08">
        <w:rPr>
          <w:lang w:val="fr-FR"/>
        </w:rPr>
        <w:t xml:space="preserve"> </w:t>
      </w:r>
      <w:r w:rsidRPr="009E0E08">
        <w:rPr>
          <w:lang w:val="fr-FR"/>
        </w:rPr>
        <w:t>35 § 3 a) de la Convention et qu</w:t>
      </w:r>
      <w:r w:rsidR="009E0E08" w:rsidRPr="009E0E08">
        <w:rPr>
          <w:lang w:val="fr-FR"/>
        </w:rPr>
        <w:t>’</w:t>
      </w:r>
      <w:r w:rsidRPr="009E0E08">
        <w:rPr>
          <w:lang w:val="fr-FR"/>
        </w:rPr>
        <w:t>elle ne se heurte par ailleurs à aucun autre motif d</w:t>
      </w:r>
      <w:r w:rsidR="009E0E08" w:rsidRPr="009E0E08">
        <w:rPr>
          <w:lang w:val="fr-FR"/>
        </w:rPr>
        <w:t>’</w:t>
      </w:r>
      <w:r w:rsidRPr="009E0E08">
        <w:rPr>
          <w:lang w:val="fr-FR"/>
        </w:rPr>
        <w:t>irrecevabilité, la Cour la déclare recevable.</w:t>
      </w:r>
    </w:p>
    <w:p w:rsidR="009C7C1B" w:rsidRPr="009E0E08" w:rsidRDefault="009C7C1B" w:rsidP="009E0E08">
      <w:pPr>
        <w:pStyle w:val="ECHRHeading2"/>
        <w:rPr>
          <w:lang w:val="fr-FR"/>
        </w:rPr>
      </w:pPr>
      <w:r w:rsidRPr="009E0E08">
        <w:rPr>
          <w:lang w:val="fr-FR"/>
        </w:rPr>
        <w:t>B.  Sur le fond</w:t>
      </w:r>
    </w:p>
    <w:p w:rsidR="009C7C1B" w:rsidRPr="009E0E08" w:rsidRDefault="009C7C1B" w:rsidP="009E0E08">
      <w:pPr>
        <w:pStyle w:val="ECHRHeading3"/>
        <w:rPr>
          <w:lang w:val="fr-FR"/>
        </w:rPr>
      </w:pPr>
      <w:r w:rsidRPr="009E0E08">
        <w:rPr>
          <w:lang w:val="fr-FR"/>
        </w:rPr>
        <w:t>1.  Arguments des parties</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36</w:t>
      </w:r>
      <w:r w:rsidRPr="009E0E08">
        <w:rPr>
          <w:lang w:val="fr-FR"/>
        </w:rPr>
        <w:fldChar w:fldCharType="end"/>
      </w:r>
      <w:r w:rsidRPr="009E0E08">
        <w:rPr>
          <w:lang w:val="fr-FR"/>
        </w:rPr>
        <w:t>.  Les requérants rappellent que le but de la présente requête n</w:t>
      </w:r>
      <w:r w:rsidR="009E0E08" w:rsidRPr="009E0E08">
        <w:rPr>
          <w:lang w:val="fr-FR"/>
        </w:rPr>
        <w:t>’</w:t>
      </w:r>
      <w:r w:rsidRPr="009E0E08">
        <w:rPr>
          <w:lang w:val="fr-FR"/>
        </w:rPr>
        <w:t>est pas celui d</w:t>
      </w:r>
      <w:r w:rsidR="009E0E08" w:rsidRPr="009E0E08">
        <w:rPr>
          <w:lang w:val="fr-FR"/>
        </w:rPr>
        <w:t>’</w:t>
      </w:r>
      <w:r w:rsidRPr="009E0E08">
        <w:rPr>
          <w:lang w:val="fr-FR"/>
        </w:rPr>
        <w:t>établir si les déclarations de D.C. étaient vraies mais de déterminer si le journaliste avait le droit/devoir d</w:t>
      </w:r>
      <w:r w:rsidR="009E0E08" w:rsidRPr="009E0E08">
        <w:rPr>
          <w:lang w:val="fr-FR"/>
        </w:rPr>
        <w:t>’</w:t>
      </w:r>
      <w:r w:rsidRPr="009E0E08">
        <w:rPr>
          <w:lang w:val="fr-FR"/>
        </w:rPr>
        <w:t>informer l</w:t>
      </w:r>
      <w:r w:rsidR="009E0E08" w:rsidRPr="009E0E08">
        <w:rPr>
          <w:lang w:val="fr-FR"/>
        </w:rPr>
        <w:t>’</w:t>
      </w:r>
      <w:r w:rsidRPr="009E0E08">
        <w:rPr>
          <w:lang w:val="fr-FR"/>
        </w:rPr>
        <w:t>opinion publique et l</w:t>
      </w:r>
      <w:r w:rsidR="009E0E08" w:rsidRPr="009E0E08">
        <w:rPr>
          <w:lang w:val="fr-FR"/>
        </w:rPr>
        <w:t>’</w:t>
      </w:r>
      <w:r w:rsidRPr="009E0E08">
        <w:rPr>
          <w:lang w:val="fr-FR"/>
        </w:rPr>
        <w:t>opinion publique le droit d</w:t>
      </w:r>
      <w:r w:rsidR="009E0E08" w:rsidRPr="009E0E08">
        <w:rPr>
          <w:lang w:val="fr-FR"/>
        </w:rPr>
        <w:t>’</w:t>
      </w:r>
      <w:r w:rsidRPr="009E0E08">
        <w:rPr>
          <w:lang w:val="fr-FR"/>
        </w:rPr>
        <w:t>être informée, et si les raisons adoptées par les juges internes étaient pertinents et suffisants pour justifier leur condamnation.</w:t>
      </w:r>
    </w:p>
    <w:p w:rsidR="009C7C1B" w:rsidRPr="009E0E08" w:rsidRDefault="009C7C1B" w:rsidP="009E0E08">
      <w:pPr>
        <w:pStyle w:val="ECHRPara"/>
        <w:rPr>
          <w:lang w:val="fr-FR"/>
        </w:rPr>
      </w:pPr>
      <w:r w:rsidRPr="009E0E08">
        <w:rPr>
          <w:lang w:val="fr-FR"/>
        </w:rPr>
        <w:t>Ils soutiennent que, au cours de la procédure interne, il n</w:t>
      </w:r>
      <w:r w:rsidR="009E0E08" w:rsidRPr="009E0E08">
        <w:rPr>
          <w:lang w:val="fr-FR"/>
        </w:rPr>
        <w:t>’</w:t>
      </w:r>
      <w:r w:rsidRPr="009E0E08">
        <w:rPr>
          <w:lang w:val="fr-FR"/>
        </w:rPr>
        <w:t>a été tenu compte ni des vérifications effectuées, établissant à leurs yeux la crédibilité de leur source et de ses déclarations, ni de leur bonne foi dans la présentation d</w:t>
      </w:r>
      <w:r w:rsidR="009E0E08" w:rsidRPr="009E0E08">
        <w:rPr>
          <w:lang w:val="fr-FR"/>
        </w:rPr>
        <w:t>’</w:t>
      </w:r>
      <w:r w:rsidRPr="009E0E08">
        <w:rPr>
          <w:lang w:val="fr-FR"/>
        </w:rPr>
        <w:t>une version des faits qu</w:t>
      </w:r>
      <w:r w:rsidR="009E0E08" w:rsidRPr="009E0E08">
        <w:rPr>
          <w:lang w:val="fr-FR"/>
        </w:rPr>
        <w:t>’</w:t>
      </w:r>
      <w:r w:rsidRPr="009E0E08">
        <w:rPr>
          <w:lang w:val="fr-FR"/>
        </w:rPr>
        <w:t>ils disaient être crédible et alternative à celle que les tribunaux avaient établie en se rapportant essentiellement au « procès Tobagi » (notamment l</w:t>
      </w:r>
      <w:r w:rsidR="009E0E08" w:rsidRPr="009E0E08">
        <w:rPr>
          <w:lang w:val="fr-FR"/>
        </w:rPr>
        <w:t>’</w:t>
      </w:r>
      <w:r w:rsidRPr="009E0E08">
        <w:rPr>
          <w:lang w:val="fr-FR"/>
        </w:rPr>
        <w:t>arrêt de la cour d</w:t>
      </w:r>
      <w:r w:rsidR="009E0E08" w:rsidRPr="009E0E08">
        <w:rPr>
          <w:lang w:val="fr-FR"/>
        </w:rPr>
        <w:t>’</w:t>
      </w:r>
      <w:r w:rsidRPr="009E0E08">
        <w:rPr>
          <w:lang w:val="fr-FR"/>
        </w:rPr>
        <w:t>assises de Milan du 28 novembre 1983). De plus, ils se prévalent de la question d</w:t>
      </w:r>
      <w:r w:rsidR="009E0E08" w:rsidRPr="009E0E08">
        <w:rPr>
          <w:lang w:val="fr-FR"/>
        </w:rPr>
        <w:t>’</w:t>
      </w:r>
      <w:r w:rsidRPr="009E0E08">
        <w:rPr>
          <w:lang w:val="fr-FR"/>
        </w:rPr>
        <w:t>intérêt général exposée dans l</w:t>
      </w:r>
      <w:r w:rsidR="009E0E08" w:rsidRPr="009E0E08">
        <w:rPr>
          <w:lang w:val="fr-FR"/>
        </w:rPr>
        <w:t>’</w:t>
      </w:r>
      <w:r w:rsidRPr="009E0E08">
        <w:rPr>
          <w:lang w:val="fr-FR"/>
        </w:rPr>
        <w:t>article.</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37</w:t>
      </w:r>
      <w:r w:rsidRPr="009E0E08">
        <w:rPr>
          <w:lang w:val="fr-FR"/>
        </w:rPr>
        <w:fldChar w:fldCharType="end"/>
      </w:r>
      <w:r w:rsidRPr="009E0E08">
        <w:rPr>
          <w:lang w:val="fr-FR"/>
        </w:rPr>
        <w:t>.  Les requérants indiquent ensuite que leur condamnation a été largement traitée au niveau national : une question parlementaire (</w:t>
      </w:r>
      <w:r w:rsidRPr="009E0E08">
        <w:rPr>
          <w:i/>
          <w:lang w:val="fr-FR"/>
        </w:rPr>
        <w:t>interrogazione parlamentare</w:t>
      </w:r>
      <w:r w:rsidRPr="009E0E08">
        <w:rPr>
          <w:lang w:val="fr-FR"/>
        </w:rPr>
        <w:t>) a été présentée au gouvernement ; deux communiqués de presse, l</w:t>
      </w:r>
      <w:r w:rsidR="009E0E08" w:rsidRPr="009E0E08">
        <w:rPr>
          <w:lang w:val="fr-FR"/>
        </w:rPr>
        <w:t>’</w:t>
      </w:r>
      <w:r w:rsidRPr="009E0E08">
        <w:rPr>
          <w:lang w:val="fr-FR"/>
        </w:rPr>
        <w:t>un du Conseil national de l</w:t>
      </w:r>
      <w:r w:rsidR="009E0E08" w:rsidRPr="009E0E08">
        <w:rPr>
          <w:lang w:val="fr-FR"/>
        </w:rPr>
        <w:t>’</w:t>
      </w:r>
      <w:r w:rsidRPr="009E0E08">
        <w:rPr>
          <w:lang w:val="fr-FR"/>
        </w:rPr>
        <w:t>ordre des journalistes et l</w:t>
      </w:r>
      <w:r w:rsidR="009E0E08" w:rsidRPr="009E0E08">
        <w:rPr>
          <w:lang w:val="fr-FR"/>
        </w:rPr>
        <w:t>’</w:t>
      </w:r>
      <w:r w:rsidRPr="009E0E08">
        <w:rPr>
          <w:lang w:val="fr-FR"/>
        </w:rPr>
        <w:t>autre de la Fédération nationale de la presse italienne (« la FNSI »), ont déploré l</w:t>
      </w:r>
      <w:r w:rsidR="009E0E08" w:rsidRPr="009E0E08">
        <w:rPr>
          <w:lang w:val="fr-FR"/>
        </w:rPr>
        <w:t>’</w:t>
      </w:r>
      <w:r w:rsidRPr="009E0E08">
        <w:rPr>
          <w:lang w:val="fr-FR"/>
        </w:rPr>
        <w:t>existence d</w:t>
      </w:r>
      <w:r w:rsidR="009E0E08" w:rsidRPr="009E0E08">
        <w:rPr>
          <w:lang w:val="fr-FR"/>
        </w:rPr>
        <w:t>’</w:t>
      </w:r>
      <w:r w:rsidRPr="009E0E08">
        <w:rPr>
          <w:lang w:val="fr-FR"/>
        </w:rPr>
        <w:t>une atteinte à la liberté de la presse ; de nombreux journaux ont repris la version de l</w:t>
      </w:r>
      <w:r w:rsidR="009E0E08" w:rsidRPr="009E0E08">
        <w:rPr>
          <w:lang w:val="fr-FR"/>
        </w:rPr>
        <w:t>’</w:t>
      </w:r>
      <w:r w:rsidRPr="009E0E08">
        <w:rPr>
          <w:lang w:val="fr-FR"/>
        </w:rPr>
        <w:t>article litigieux et ont amplement analysé le rôle de la presse. Les intéressés reproduisent en particulier un éditorial commentant l</w:t>
      </w:r>
      <w:r w:rsidR="009E0E08" w:rsidRPr="009E0E08">
        <w:rPr>
          <w:lang w:val="fr-FR"/>
        </w:rPr>
        <w:t>’</w:t>
      </w:r>
      <w:r w:rsidRPr="009E0E08">
        <w:rPr>
          <w:lang w:val="fr-FR"/>
        </w:rPr>
        <w:t>arrêt de la Cour de cassation, signé par un magistrat expert en antiterrorisme. Aux dires des requérants, ce magistrat a en particulier relevé que la déclaration faite par D.C. lors du procès à propos de l</w:t>
      </w:r>
      <w:r w:rsidR="009E0E08" w:rsidRPr="009E0E08">
        <w:rPr>
          <w:lang w:val="fr-FR"/>
        </w:rPr>
        <w:t>’</w:t>
      </w:r>
      <w:r w:rsidRPr="009E0E08">
        <w:rPr>
          <w:lang w:val="fr-FR"/>
        </w:rPr>
        <w:t>existence d</w:t>
      </w:r>
      <w:r w:rsidR="009E0E08" w:rsidRPr="009E0E08">
        <w:rPr>
          <w:lang w:val="fr-FR"/>
        </w:rPr>
        <w:t>’</w:t>
      </w:r>
      <w:r w:rsidRPr="009E0E08">
        <w:rPr>
          <w:lang w:val="fr-FR"/>
        </w:rPr>
        <w:t xml:space="preserve">autres notes mentionnant les noms des terroristes aurait dû amener les juges ou le parquet à obtenir des </w:t>
      </w:r>
      <w:r w:rsidRPr="009E0E08">
        <w:rPr>
          <w:i/>
          <w:lang w:val="fr-FR"/>
        </w:rPr>
        <w:t>carabinieri</w:t>
      </w:r>
      <w:r w:rsidRPr="009E0E08">
        <w:rPr>
          <w:lang w:val="fr-FR"/>
        </w:rPr>
        <w:t xml:space="preserve"> la communication du dossier complet relatif à « le Facteur » l</w:t>
      </w:r>
      <w:r w:rsidR="009E0E08" w:rsidRPr="009E0E08">
        <w:rPr>
          <w:lang w:val="fr-FR"/>
        </w:rPr>
        <w:t>’</w:t>
      </w:r>
      <w:r w:rsidRPr="009E0E08">
        <w:rPr>
          <w:lang w:val="fr-FR"/>
        </w:rPr>
        <w:t>informateur de D.C. Toujours à leurs dires, d</w:t>
      </w:r>
      <w:r w:rsidR="009E0E08" w:rsidRPr="009E0E08">
        <w:rPr>
          <w:lang w:val="fr-FR"/>
        </w:rPr>
        <w:t>’</w:t>
      </w:r>
      <w:r w:rsidRPr="009E0E08">
        <w:rPr>
          <w:lang w:val="fr-FR"/>
        </w:rPr>
        <w:t>après ce magistrat, leur condamnation était contraire à la jurisprudence interne consolidée selon laquelle, si un journaliste rapportait fidèlement les déclarations d</w:t>
      </w:r>
      <w:r w:rsidR="009E0E08" w:rsidRPr="009E0E08">
        <w:rPr>
          <w:lang w:val="fr-FR"/>
        </w:rPr>
        <w:t>’</w:t>
      </w:r>
      <w:r w:rsidRPr="009E0E08">
        <w:rPr>
          <w:lang w:val="fr-FR"/>
        </w:rPr>
        <w:t>un individu et si l</w:t>
      </w:r>
      <w:r w:rsidR="009E0E08" w:rsidRPr="009E0E08">
        <w:rPr>
          <w:lang w:val="fr-FR"/>
        </w:rPr>
        <w:t>’</w:t>
      </w:r>
      <w:r w:rsidRPr="009E0E08">
        <w:rPr>
          <w:lang w:val="fr-FR"/>
        </w:rPr>
        <w:t>histoire relatée était plausible et d</w:t>
      </w:r>
      <w:r w:rsidR="009E0E08" w:rsidRPr="009E0E08">
        <w:rPr>
          <w:lang w:val="fr-FR"/>
        </w:rPr>
        <w:t>’</w:t>
      </w:r>
      <w:r w:rsidRPr="009E0E08">
        <w:rPr>
          <w:lang w:val="fr-FR"/>
        </w:rPr>
        <w:t>intérêt public et méritait d</w:t>
      </w:r>
      <w:r w:rsidR="009E0E08" w:rsidRPr="009E0E08">
        <w:rPr>
          <w:lang w:val="fr-FR"/>
        </w:rPr>
        <w:t>’</w:t>
      </w:r>
      <w:r w:rsidRPr="009E0E08">
        <w:rPr>
          <w:lang w:val="fr-FR"/>
        </w:rPr>
        <w:t>être approfondie, le journaliste en question ne devait alors pas répondre de l</w:t>
      </w:r>
      <w:r w:rsidR="009E0E08" w:rsidRPr="009E0E08">
        <w:rPr>
          <w:lang w:val="fr-FR"/>
        </w:rPr>
        <w:t>’</w:t>
      </w:r>
      <w:r w:rsidRPr="009E0E08">
        <w:rPr>
          <w:lang w:val="fr-FR"/>
        </w:rPr>
        <w:t>infraction de complicité de diffamation car il exerçait son droit de chronique.</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38</w:t>
      </w:r>
      <w:r w:rsidRPr="009E0E08">
        <w:rPr>
          <w:lang w:val="fr-FR"/>
        </w:rPr>
        <w:fldChar w:fldCharType="end"/>
      </w:r>
      <w:r w:rsidRPr="009E0E08">
        <w:rPr>
          <w:lang w:val="fr-FR"/>
        </w:rPr>
        <w:t>.  Les requérants critiquent enfin l</w:t>
      </w:r>
      <w:r w:rsidR="009E0E08" w:rsidRPr="009E0E08">
        <w:rPr>
          <w:lang w:val="fr-FR"/>
        </w:rPr>
        <w:t>’</w:t>
      </w:r>
      <w:r w:rsidRPr="009E0E08">
        <w:rPr>
          <w:lang w:val="fr-FR"/>
        </w:rPr>
        <w:t>effet combiné des amendes pénales, du montant de la provision sur les dommages-intérêts accordée aux parties civiles et de la somme à laquelle ils ont été condamnés au titre des frais de procédure en ce qu</w:t>
      </w:r>
      <w:r w:rsidR="009E0E08" w:rsidRPr="009E0E08">
        <w:rPr>
          <w:lang w:val="fr-FR"/>
        </w:rPr>
        <w:t>’</w:t>
      </w:r>
      <w:r w:rsidRPr="009E0E08">
        <w:rPr>
          <w:lang w:val="fr-FR"/>
        </w:rPr>
        <w:t>il serait déraisonnablement disproportionné et contraire à la jurisprudence de la Cour. Ils indiquent que l</w:t>
      </w:r>
      <w:r w:rsidR="009E0E08" w:rsidRPr="009E0E08">
        <w:rPr>
          <w:lang w:val="fr-FR"/>
        </w:rPr>
        <w:t>’</w:t>
      </w:r>
      <w:r w:rsidRPr="009E0E08">
        <w:rPr>
          <w:lang w:val="fr-FR"/>
        </w:rPr>
        <w:t>indemnité pour dommage moral était trop élevée par rapport à leur situation financière et qu</w:t>
      </w:r>
      <w:r w:rsidR="009E0E08" w:rsidRPr="009E0E08">
        <w:rPr>
          <w:lang w:val="fr-FR"/>
        </w:rPr>
        <w:t>’</w:t>
      </w:r>
      <w:r w:rsidRPr="009E0E08">
        <w:rPr>
          <w:lang w:val="fr-FR"/>
        </w:rPr>
        <w:t>elle a donc été versée par l</w:t>
      </w:r>
      <w:r w:rsidR="009E0E08" w:rsidRPr="009E0E08">
        <w:rPr>
          <w:lang w:val="fr-FR"/>
        </w:rPr>
        <w:t>’</w:t>
      </w:r>
      <w:r w:rsidRPr="009E0E08">
        <w:rPr>
          <w:lang w:val="fr-FR"/>
        </w:rPr>
        <w:t>hebdomadaire, mais qu</w:t>
      </w:r>
      <w:r w:rsidR="009E0E08" w:rsidRPr="009E0E08">
        <w:rPr>
          <w:lang w:val="fr-FR"/>
        </w:rPr>
        <w:t>’</w:t>
      </w:r>
      <w:r w:rsidRPr="009E0E08">
        <w:rPr>
          <w:lang w:val="fr-FR"/>
        </w:rPr>
        <w:t>ils restent solidairement responsables et sont théoriquement redevables à l</w:t>
      </w:r>
      <w:r w:rsidR="009E0E08" w:rsidRPr="009E0E08">
        <w:rPr>
          <w:lang w:val="fr-FR"/>
        </w:rPr>
        <w:t>’</w:t>
      </w:r>
      <w:r w:rsidRPr="009E0E08">
        <w:rPr>
          <w:lang w:val="fr-FR"/>
        </w:rPr>
        <w:t>égard de la société d</w:t>
      </w:r>
      <w:r w:rsidR="009E0E08" w:rsidRPr="009E0E08">
        <w:rPr>
          <w:lang w:val="fr-FR"/>
        </w:rPr>
        <w:t>’</w:t>
      </w:r>
      <w:r w:rsidRPr="009E0E08">
        <w:rPr>
          <w:lang w:val="fr-FR"/>
        </w:rPr>
        <w:t>édition.</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39</w:t>
      </w:r>
      <w:r w:rsidRPr="009E0E08">
        <w:rPr>
          <w:lang w:val="fr-FR"/>
        </w:rPr>
        <w:fldChar w:fldCharType="end"/>
      </w:r>
      <w:r w:rsidRPr="009E0E08">
        <w:rPr>
          <w:lang w:val="fr-FR"/>
        </w:rPr>
        <w:t>.  Le Gouvernement réplique que l</w:t>
      </w:r>
      <w:r w:rsidR="009E0E08" w:rsidRPr="009E0E08">
        <w:rPr>
          <w:lang w:val="fr-FR"/>
        </w:rPr>
        <w:t>’</w:t>
      </w:r>
      <w:r w:rsidRPr="009E0E08">
        <w:rPr>
          <w:lang w:val="fr-FR"/>
        </w:rPr>
        <w:t>article avait une portée diffamatoire indiscutable et que la procédure interne a permis d</w:t>
      </w:r>
      <w:r w:rsidR="009E0E08" w:rsidRPr="009E0E08">
        <w:rPr>
          <w:lang w:val="fr-FR"/>
        </w:rPr>
        <w:t>’</w:t>
      </w:r>
      <w:r w:rsidRPr="009E0E08">
        <w:rPr>
          <w:lang w:val="fr-FR"/>
        </w:rPr>
        <w:t>établir que les requérants avaient agi sans respecter le devoir qui aurait été le leur de présenter des informations précises et crédibles, d</w:t>
      </w:r>
      <w:r w:rsidR="009E0E08" w:rsidRPr="009E0E08">
        <w:rPr>
          <w:lang w:val="fr-FR"/>
        </w:rPr>
        <w:t>’</w:t>
      </w:r>
      <w:r w:rsidRPr="009E0E08">
        <w:rPr>
          <w:lang w:val="fr-FR"/>
        </w:rPr>
        <w:t>agir de bonne foi et de respecter la déontologie de la profession de journaliste. Il dit en particulier que les juges internes ont apprécié avec diligence les faits à l</w:t>
      </w:r>
      <w:r w:rsidR="009E0E08" w:rsidRPr="009E0E08">
        <w:rPr>
          <w:lang w:val="fr-FR"/>
        </w:rPr>
        <w:t>’</w:t>
      </w:r>
      <w:r w:rsidRPr="009E0E08">
        <w:rPr>
          <w:lang w:val="fr-FR"/>
        </w:rPr>
        <w:t>origine de l</w:t>
      </w:r>
      <w:r w:rsidR="009E0E08" w:rsidRPr="009E0E08">
        <w:rPr>
          <w:lang w:val="fr-FR"/>
        </w:rPr>
        <w:t>’</w:t>
      </w:r>
      <w:r w:rsidRPr="009E0E08">
        <w:rPr>
          <w:lang w:val="fr-FR"/>
        </w:rPr>
        <w:t>affaire, dans le respect des principes découlant de la jurisprudence de la Cour en la matière.</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40</w:t>
      </w:r>
      <w:r w:rsidRPr="009E0E08">
        <w:rPr>
          <w:lang w:val="fr-FR"/>
        </w:rPr>
        <w:fldChar w:fldCharType="end"/>
      </w:r>
      <w:r w:rsidRPr="009E0E08">
        <w:rPr>
          <w:lang w:val="fr-FR"/>
        </w:rPr>
        <w:t>.  Le Gouvernement soutient que les requérants ont présenté dans l</w:t>
      </w:r>
      <w:r w:rsidR="009E0E08" w:rsidRPr="009E0E08">
        <w:rPr>
          <w:lang w:val="fr-FR"/>
        </w:rPr>
        <w:t>’</w:t>
      </w:r>
      <w:r w:rsidRPr="009E0E08">
        <w:rPr>
          <w:lang w:val="fr-FR"/>
        </w:rPr>
        <w:t>article litigieux une seule version des faits comme étant l</w:t>
      </w:r>
      <w:r w:rsidR="009E0E08" w:rsidRPr="009E0E08">
        <w:rPr>
          <w:lang w:val="fr-FR"/>
        </w:rPr>
        <w:t>’</w:t>
      </w:r>
      <w:r w:rsidRPr="009E0E08">
        <w:rPr>
          <w:lang w:val="fr-FR"/>
        </w:rPr>
        <w:t>unique vérité possible. Selon le gouvernement défendeur, le récit des faits proposé par les intéressés, qui a aussi été critiqué pour le ton employé, a été contredit par l</w:t>
      </w:r>
      <w:r w:rsidR="009E0E08" w:rsidRPr="009E0E08">
        <w:rPr>
          <w:lang w:val="fr-FR"/>
        </w:rPr>
        <w:t>’</w:t>
      </w:r>
      <w:r w:rsidRPr="009E0E08">
        <w:rPr>
          <w:lang w:val="fr-FR"/>
        </w:rPr>
        <w:t>établissement des faits auquel les tribunaux internes ont procédé en se fondant, en particulier, sur la reconstitution des faits effectuée au cours du procès relatif à l</w:t>
      </w:r>
      <w:r w:rsidR="009E0E08" w:rsidRPr="009E0E08">
        <w:rPr>
          <w:lang w:val="fr-FR"/>
        </w:rPr>
        <w:t>’</w:t>
      </w:r>
      <w:r w:rsidRPr="009E0E08">
        <w:rPr>
          <w:lang w:val="fr-FR"/>
        </w:rPr>
        <w:t>assassinat de Walter Tobagi (le « procès Tobagi »), notamment par la cour d</w:t>
      </w:r>
      <w:r w:rsidR="009E0E08" w:rsidRPr="009E0E08">
        <w:rPr>
          <w:lang w:val="fr-FR"/>
        </w:rPr>
        <w:t>’</w:t>
      </w:r>
      <w:r w:rsidRPr="009E0E08">
        <w:rPr>
          <w:lang w:val="fr-FR"/>
        </w:rPr>
        <w:t>assises de Milan dans son arrêt du 28 novembre 1983. En particulier, la version proposée par l</w:t>
      </w:r>
      <w:r w:rsidR="009E0E08" w:rsidRPr="009E0E08">
        <w:rPr>
          <w:lang w:val="fr-FR"/>
        </w:rPr>
        <w:t>’</w:t>
      </w:r>
      <w:r w:rsidRPr="009E0E08">
        <w:rPr>
          <w:lang w:val="fr-FR"/>
        </w:rPr>
        <w:t>article aurait été contredite par M.B., auteur du crime, et par « le Facteur », informateur de D.C., et démentie par une série d</w:t>
      </w:r>
      <w:r w:rsidR="009E0E08" w:rsidRPr="009E0E08">
        <w:rPr>
          <w:lang w:val="fr-FR"/>
        </w:rPr>
        <w:t>’</w:t>
      </w:r>
      <w:r w:rsidRPr="009E0E08">
        <w:rPr>
          <w:lang w:val="fr-FR"/>
        </w:rPr>
        <w:t>autres faits établis au cours du « procès Tobagi ». Enfin, d</w:t>
      </w:r>
      <w:r w:rsidR="009E0E08" w:rsidRPr="009E0E08">
        <w:rPr>
          <w:lang w:val="fr-FR"/>
        </w:rPr>
        <w:t>’</w:t>
      </w:r>
      <w:r w:rsidRPr="009E0E08">
        <w:rPr>
          <w:lang w:val="fr-FR"/>
        </w:rPr>
        <w:t>après le gouvernement défendeur, les tribunaux ont établi que D.C. n</w:t>
      </w:r>
      <w:r w:rsidR="009E0E08" w:rsidRPr="009E0E08">
        <w:rPr>
          <w:lang w:val="fr-FR"/>
        </w:rPr>
        <w:t>’</w:t>
      </w:r>
      <w:r w:rsidRPr="009E0E08">
        <w:rPr>
          <w:lang w:val="fr-FR"/>
        </w:rPr>
        <w:t>avait pas mentionné les noms des terroristes dans son rapport et que sa déclaration à propos de ses autres notes était simplement le fruit de sa stratégie procédurale.</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41</w:t>
      </w:r>
      <w:r w:rsidRPr="009E0E08">
        <w:rPr>
          <w:lang w:val="fr-FR"/>
        </w:rPr>
        <w:fldChar w:fldCharType="end"/>
      </w:r>
      <w:r w:rsidRPr="009E0E08">
        <w:rPr>
          <w:lang w:val="fr-FR"/>
        </w:rPr>
        <w:t>.  En conséquence, le Gouvernement estime que le premier requérant a omis d</w:t>
      </w:r>
      <w:r w:rsidR="009E0E08" w:rsidRPr="009E0E08">
        <w:rPr>
          <w:lang w:val="fr-FR"/>
        </w:rPr>
        <w:t>’</w:t>
      </w:r>
      <w:r w:rsidRPr="009E0E08">
        <w:rPr>
          <w:lang w:val="fr-FR"/>
        </w:rPr>
        <w:t>exercer un contrôle sur le bien-fondé des accusations diffamatoires litigieuses, en violation de son devoir de journaliste, et que le deuxième requérant a quant à lui omis, en tant que directeur de l</w:t>
      </w:r>
      <w:r w:rsidR="009E0E08" w:rsidRPr="009E0E08">
        <w:rPr>
          <w:lang w:val="fr-FR"/>
        </w:rPr>
        <w:t>’</w:t>
      </w:r>
      <w:r w:rsidRPr="009E0E08">
        <w:rPr>
          <w:lang w:val="fr-FR"/>
        </w:rPr>
        <w:t>hebdomadaire, d</w:t>
      </w:r>
      <w:r w:rsidR="009E0E08" w:rsidRPr="009E0E08">
        <w:rPr>
          <w:lang w:val="fr-FR"/>
        </w:rPr>
        <w:t>’</w:t>
      </w:r>
      <w:r w:rsidRPr="009E0E08">
        <w:rPr>
          <w:lang w:val="fr-FR"/>
        </w:rPr>
        <w:t>exercer un contrôle apte à prévenir la diffusion d</w:t>
      </w:r>
      <w:r w:rsidR="009E0E08" w:rsidRPr="009E0E08">
        <w:rPr>
          <w:lang w:val="fr-FR"/>
        </w:rPr>
        <w:t>’</w:t>
      </w:r>
      <w:r w:rsidRPr="009E0E08">
        <w:rPr>
          <w:lang w:val="fr-FR"/>
        </w:rPr>
        <w:t>un article diffamatoire.</w:t>
      </w:r>
    </w:p>
    <w:bookmarkStart w:id="15" w:name="OBS_GVT"/>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42</w:t>
      </w:r>
      <w:r w:rsidRPr="009E0E08">
        <w:rPr>
          <w:lang w:val="fr-FR"/>
        </w:rPr>
        <w:fldChar w:fldCharType="end"/>
      </w:r>
      <w:bookmarkEnd w:id="15"/>
      <w:r w:rsidRPr="009E0E08">
        <w:rPr>
          <w:lang w:val="fr-FR"/>
        </w:rPr>
        <w:t>.  En ce qui concerne l</w:t>
      </w:r>
      <w:r w:rsidR="009E0E08" w:rsidRPr="009E0E08">
        <w:rPr>
          <w:lang w:val="fr-FR"/>
        </w:rPr>
        <w:t>’</w:t>
      </w:r>
      <w:r w:rsidRPr="009E0E08">
        <w:rPr>
          <w:lang w:val="fr-FR"/>
        </w:rPr>
        <w:t>amende pénale et le montant de l</w:t>
      </w:r>
      <w:r w:rsidR="009E0E08" w:rsidRPr="009E0E08">
        <w:rPr>
          <w:lang w:val="fr-FR"/>
        </w:rPr>
        <w:t>’</w:t>
      </w:r>
      <w:r w:rsidRPr="009E0E08">
        <w:rPr>
          <w:lang w:val="fr-FR"/>
        </w:rPr>
        <w:t>indemnité pour dommage moral, le Gouvernement indique que ces sommes sont proportionnées. Il rappelle que l</w:t>
      </w:r>
      <w:r w:rsidR="009E0E08" w:rsidRPr="009E0E08">
        <w:rPr>
          <w:lang w:val="fr-FR"/>
        </w:rPr>
        <w:t>’</w:t>
      </w:r>
      <w:r w:rsidRPr="009E0E08">
        <w:rPr>
          <w:lang w:val="fr-FR"/>
        </w:rPr>
        <w:t>indemnité a été versée par l</w:t>
      </w:r>
      <w:r w:rsidR="009E0E08" w:rsidRPr="009E0E08">
        <w:rPr>
          <w:lang w:val="fr-FR"/>
        </w:rPr>
        <w:t>’</w:t>
      </w:r>
      <w:r w:rsidRPr="009E0E08">
        <w:rPr>
          <w:lang w:val="fr-FR"/>
        </w:rPr>
        <w:t>hebdomadaire, et il considère qu</w:t>
      </w:r>
      <w:r w:rsidR="009E0E08" w:rsidRPr="009E0E08">
        <w:rPr>
          <w:lang w:val="fr-FR"/>
        </w:rPr>
        <w:t>’</w:t>
      </w:r>
      <w:r w:rsidRPr="009E0E08">
        <w:rPr>
          <w:lang w:val="fr-FR"/>
        </w:rPr>
        <w:t>en tout état de cause cette condamnation est proportionnée au regard de la jurisprudence de la Cour et justifiée au vu des accusations contenues dans l</w:t>
      </w:r>
      <w:r w:rsidR="009E0E08" w:rsidRPr="009E0E08">
        <w:rPr>
          <w:lang w:val="fr-FR"/>
        </w:rPr>
        <w:t>’</w:t>
      </w:r>
      <w:r w:rsidRPr="009E0E08">
        <w:rPr>
          <w:lang w:val="fr-FR"/>
        </w:rPr>
        <w:t>article, qu</w:t>
      </w:r>
      <w:r w:rsidR="009E0E08" w:rsidRPr="009E0E08">
        <w:rPr>
          <w:lang w:val="fr-FR"/>
        </w:rPr>
        <w:t>’</w:t>
      </w:r>
      <w:r w:rsidRPr="009E0E08">
        <w:rPr>
          <w:lang w:val="fr-FR"/>
        </w:rPr>
        <w:t>il qualifie de hautement diffamatoires.</w:t>
      </w:r>
    </w:p>
    <w:p w:rsidR="009C7C1B" w:rsidRPr="009E0E08" w:rsidRDefault="009C7C1B" w:rsidP="009E0E08">
      <w:pPr>
        <w:pStyle w:val="ECHRHeading3"/>
        <w:rPr>
          <w:lang w:val="fr-FR"/>
        </w:rPr>
      </w:pPr>
      <w:r w:rsidRPr="009E0E08">
        <w:rPr>
          <w:lang w:val="fr-FR"/>
        </w:rPr>
        <w:t>2.  Appréciation de la Cour</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43</w:t>
      </w:r>
      <w:r w:rsidRPr="009E0E08">
        <w:rPr>
          <w:lang w:val="fr-FR"/>
        </w:rPr>
        <w:fldChar w:fldCharType="end"/>
      </w:r>
      <w:r w:rsidRPr="009E0E08">
        <w:rPr>
          <w:lang w:val="fr-FR"/>
        </w:rPr>
        <w:t>.  La Cour note qu</w:t>
      </w:r>
      <w:r w:rsidR="009E0E08" w:rsidRPr="009E0E08">
        <w:rPr>
          <w:lang w:val="fr-FR"/>
        </w:rPr>
        <w:t>’</w:t>
      </w:r>
      <w:r w:rsidRPr="009E0E08">
        <w:rPr>
          <w:lang w:val="fr-FR"/>
        </w:rPr>
        <w:t>il ne prête pas à controverse entre les parties que la condamnation des requérants a constitué une ingérence dans le droit de ces derniers à la liberté d</w:t>
      </w:r>
      <w:r w:rsidR="009E0E08" w:rsidRPr="009E0E08">
        <w:rPr>
          <w:lang w:val="fr-FR"/>
        </w:rPr>
        <w:t>’</w:t>
      </w:r>
      <w:r w:rsidRPr="009E0E08">
        <w:rPr>
          <w:lang w:val="fr-FR"/>
        </w:rPr>
        <w:t>expression, tel que garanti par l</w:t>
      </w:r>
      <w:r w:rsidR="009E0E08" w:rsidRPr="009E0E08">
        <w:rPr>
          <w:lang w:val="fr-FR"/>
        </w:rPr>
        <w:t>’</w:t>
      </w:r>
      <w:r w:rsidRPr="009E0E08">
        <w:rPr>
          <w:lang w:val="fr-FR"/>
        </w:rPr>
        <w:t>article 10 § 1 de la Convention (</w:t>
      </w:r>
      <w:r w:rsidRPr="009E0E08">
        <w:rPr>
          <w:i/>
          <w:lang w:val="fr-FR"/>
        </w:rPr>
        <w:t>Kapsis et Danikas c. Grèce</w:t>
      </w:r>
      <w:r w:rsidRPr="009E0E08">
        <w:rPr>
          <w:lang w:val="fr-FR"/>
        </w:rPr>
        <w:t>, n</w:t>
      </w:r>
      <w:r w:rsidRPr="009E0E08">
        <w:rPr>
          <w:vertAlign w:val="superscript"/>
          <w:lang w:val="fr-FR"/>
        </w:rPr>
        <w:t>o</w:t>
      </w:r>
      <w:r w:rsidRPr="009E0E08">
        <w:rPr>
          <w:lang w:val="fr-FR"/>
        </w:rPr>
        <w:t xml:space="preserve"> 52137/12, § 28, 19</w:t>
      </w:r>
      <w:r w:rsidR="009E4339" w:rsidRPr="009E0E08">
        <w:rPr>
          <w:lang w:val="fr-FR"/>
        </w:rPr>
        <w:t> </w:t>
      </w:r>
      <w:r w:rsidRPr="009E0E08">
        <w:rPr>
          <w:lang w:val="fr-FR"/>
        </w:rPr>
        <w:t>janvier</w:t>
      </w:r>
      <w:r w:rsidR="00F8223C" w:rsidRPr="009E0E08">
        <w:rPr>
          <w:lang w:val="fr-FR"/>
        </w:rPr>
        <w:t xml:space="preserve"> </w:t>
      </w:r>
      <w:r w:rsidRPr="009E0E08">
        <w:rPr>
          <w:lang w:val="fr-FR"/>
        </w:rPr>
        <w:t xml:space="preserve">2017, et </w:t>
      </w:r>
      <w:r w:rsidRPr="009E0E08">
        <w:rPr>
          <w:i/>
          <w:lang w:val="fr-FR"/>
        </w:rPr>
        <w:t>Belpietro c. Italie</w:t>
      </w:r>
      <w:r w:rsidRPr="009E0E08">
        <w:rPr>
          <w:lang w:val="fr-FR"/>
        </w:rPr>
        <w:t>, n</w:t>
      </w:r>
      <w:r w:rsidRPr="009E0E08">
        <w:rPr>
          <w:vertAlign w:val="superscript"/>
          <w:lang w:val="fr-FR"/>
        </w:rPr>
        <w:t>o</w:t>
      </w:r>
      <w:r w:rsidRPr="009E0E08">
        <w:rPr>
          <w:lang w:val="fr-FR"/>
        </w:rPr>
        <w:t> 43612/10, § 43, 24</w:t>
      </w:r>
      <w:r w:rsidR="009E4339" w:rsidRPr="009E0E08">
        <w:rPr>
          <w:lang w:val="fr-FR"/>
        </w:rPr>
        <w:t> </w:t>
      </w:r>
      <w:r w:rsidRPr="009E0E08">
        <w:rPr>
          <w:lang w:val="fr-FR"/>
        </w:rPr>
        <w:t>septembre</w:t>
      </w:r>
      <w:r w:rsidR="00F8223C" w:rsidRPr="009E0E08">
        <w:rPr>
          <w:lang w:val="fr-FR"/>
        </w:rPr>
        <w:t xml:space="preserve"> </w:t>
      </w:r>
      <w:r w:rsidRPr="009E0E08">
        <w:rPr>
          <w:lang w:val="fr-FR"/>
        </w:rPr>
        <w:t>2013).</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44</w:t>
      </w:r>
      <w:r w:rsidRPr="009E0E08">
        <w:rPr>
          <w:lang w:val="fr-FR"/>
        </w:rPr>
        <w:fldChar w:fldCharType="end"/>
      </w:r>
      <w:r w:rsidRPr="009E0E08">
        <w:rPr>
          <w:lang w:val="fr-FR"/>
        </w:rPr>
        <w:t>.  Elle relève que cette ingérence était « prévue par la loi », en l</w:t>
      </w:r>
      <w:r w:rsidR="009E0E08" w:rsidRPr="009E0E08">
        <w:rPr>
          <w:lang w:val="fr-FR"/>
        </w:rPr>
        <w:t>’</w:t>
      </w:r>
      <w:r w:rsidRPr="009E0E08">
        <w:rPr>
          <w:lang w:val="fr-FR"/>
        </w:rPr>
        <w:t>occurrence les articles 57 et 595 du CP et l</w:t>
      </w:r>
      <w:r w:rsidR="009E0E08" w:rsidRPr="009E0E08">
        <w:rPr>
          <w:lang w:val="fr-FR"/>
        </w:rPr>
        <w:t>’</w:t>
      </w:r>
      <w:r w:rsidRPr="009E0E08">
        <w:rPr>
          <w:lang w:val="fr-FR"/>
        </w:rPr>
        <w:t xml:space="preserve">article 13 de la loi sur la presse (paragraphes </w:t>
      </w:r>
      <w:r w:rsidRPr="009E0E08">
        <w:rPr>
          <w:lang w:val="fr-FR"/>
        </w:rPr>
        <w:fldChar w:fldCharType="begin"/>
      </w:r>
      <w:r w:rsidRPr="009E0E08">
        <w:rPr>
          <w:lang w:val="fr-FR"/>
        </w:rPr>
        <w:instrText xml:space="preserve"> REF ART_57_CP \h  \* MERGEFORMAT </w:instrText>
      </w:r>
      <w:r w:rsidRPr="009E0E08">
        <w:rPr>
          <w:lang w:val="fr-FR"/>
        </w:rPr>
      </w:r>
      <w:r w:rsidRPr="009E0E08">
        <w:rPr>
          <w:lang w:val="fr-FR"/>
        </w:rPr>
        <w:fldChar w:fldCharType="separate"/>
      </w:r>
      <w:r w:rsidR="009E0E08" w:rsidRPr="009E0E08">
        <w:rPr>
          <w:lang w:val="fr-FR"/>
        </w:rPr>
        <w:t>25</w:t>
      </w:r>
      <w:r w:rsidRPr="009E0E08">
        <w:rPr>
          <w:lang w:val="fr-FR"/>
        </w:rPr>
        <w:fldChar w:fldCharType="end"/>
      </w:r>
      <w:r w:rsidRPr="009E0E08">
        <w:rPr>
          <w:lang w:val="fr-FR"/>
        </w:rPr>
        <w:t xml:space="preserve"> et </w:t>
      </w:r>
      <w:r w:rsidRPr="009E0E08">
        <w:rPr>
          <w:lang w:val="fr-FR"/>
        </w:rPr>
        <w:fldChar w:fldCharType="begin"/>
      </w:r>
      <w:r w:rsidRPr="009E0E08">
        <w:rPr>
          <w:lang w:val="fr-FR"/>
        </w:rPr>
        <w:instrText xml:space="preserve"> REF ART_595_CP \h  \* MERGEFORMAT </w:instrText>
      </w:r>
      <w:r w:rsidRPr="009E0E08">
        <w:rPr>
          <w:lang w:val="fr-FR"/>
        </w:rPr>
      </w:r>
      <w:r w:rsidRPr="009E0E08">
        <w:rPr>
          <w:lang w:val="fr-FR"/>
        </w:rPr>
        <w:fldChar w:fldCharType="separate"/>
      </w:r>
      <w:r w:rsidR="009E0E08" w:rsidRPr="009E0E08">
        <w:rPr>
          <w:lang w:val="fr-FR"/>
        </w:rPr>
        <w:t>26</w:t>
      </w:r>
      <w:r w:rsidRPr="009E0E08">
        <w:rPr>
          <w:lang w:val="fr-FR"/>
        </w:rPr>
        <w:fldChar w:fldCharType="end"/>
      </w:r>
      <w:r w:rsidRPr="009E0E08">
        <w:rPr>
          <w:lang w:val="fr-FR"/>
        </w:rPr>
        <w:t xml:space="preserve"> ci-dessus), et qu</w:t>
      </w:r>
      <w:r w:rsidR="009E0E08" w:rsidRPr="009E0E08">
        <w:rPr>
          <w:lang w:val="fr-FR"/>
        </w:rPr>
        <w:t>’</w:t>
      </w:r>
      <w:r w:rsidRPr="009E0E08">
        <w:rPr>
          <w:lang w:val="fr-FR"/>
        </w:rPr>
        <w:t>elle poursuivait un but légitime, à savoir la « protection des droits d</w:t>
      </w:r>
      <w:r w:rsidR="009E0E08" w:rsidRPr="009E0E08">
        <w:rPr>
          <w:lang w:val="fr-FR"/>
        </w:rPr>
        <w:t>’</w:t>
      </w:r>
      <w:r w:rsidRPr="009E0E08">
        <w:rPr>
          <w:lang w:val="fr-FR"/>
        </w:rPr>
        <w:t>autrui » (</w:t>
      </w:r>
      <w:r w:rsidRPr="009E0E08">
        <w:rPr>
          <w:i/>
          <w:lang w:val="fr-FR"/>
        </w:rPr>
        <w:t>Pedersen</w:t>
      </w:r>
      <w:r w:rsidRPr="009E0E08">
        <w:rPr>
          <w:lang w:val="fr-FR"/>
        </w:rPr>
        <w:t xml:space="preserve"> </w:t>
      </w:r>
      <w:r w:rsidRPr="009E0E08">
        <w:rPr>
          <w:i/>
          <w:lang w:val="fr-FR"/>
        </w:rPr>
        <w:t>et Baadsgaard</w:t>
      </w:r>
      <w:r w:rsidR="00F8223C" w:rsidRPr="009E0E08">
        <w:rPr>
          <w:i/>
          <w:lang w:val="fr-FR"/>
        </w:rPr>
        <w:t xml:space="preserve"> </w:t>
      </w:r>
      <w:r w:rsidRPr="009E0E08">
        <w:rPr>
          <w:i/>
          <w:lang w:val="fr-FR"/>
        </w:rPr>
        <w:t>c.</w:t>
      </w:r>
      <w:r w:rsidR="009E4339" w:rsidRPr="009E0E08">
        <w:rPr>
          <w:i/>
          <w:lang w:val="fr-FR"/>
        </w:rPr>
        <w:t> </w:t>
      </w:r>
      <w:r w:rsidRPr="009E0E08">
        <w:rPr>
          <w:i/>
          <w:lang w:val="fr-FR"/>
        </w:rPr>
        <w:t>Danemark</w:t>
      </w:r>
      <w:r w:rsidRPr="009E0E08">
        <w:rPr>
          <w:lang w:val="fr-FR"/>
        </w:rPr>
        <w:t>,</w:t>
      </w:r>
      <w:r w:rsidRPr="009E0E08">
        <w:rPr>
          <w:i/>
          <w:lang w:val="fr-FR"/>
        </w:rPr>
        <w:t xml:space="preserve"> </w:t>
      </w:r>
      <w:r w:rsidRPr="009E0E08">
        <w:rPr>
          <w:lang w:val="fr-FR"/>
        </w:rPr>
        <w:t>n</w:t>
      </w:r>
      <w:r w:rsidRPr="009E0E08">
        <w:rPr>
          <w:vertAlign w:val="superscript"/>
          <w:lang w:val="fr-FR"/>
        </w:rPr>
        <w:t>o</w:t>
      </w:r>
      <w:r w:rsidRPr="009E0E08">
        <w:rPr>
          <w:lang w:val="fr-FR"/>
        </w:rPr>
        <w:t xml:space="preserve"> 49017/99, § 67, CEDH 2004-XI), et plus particulièrement la réputation de A.R. et U.B., anciens officiers des </w:t>
      </w:r>
      <w:r w:rsidRPr="009E0E08">
        <w:rPr>
          <w:i/>
          <w:lang w:val="fr-FR"/>
        </w:rPr>
        <w:t>carabinieri</w:t>
      </w:r>
      <w:r w:rsidRPr="009E0E08">
        <w:rPr>
          <w:lang w:val="fr-FR"/>
        </w:rPr>
        <w:t>.</w:t>
      </w:r>
    </w:p>
    <w:p w:rsidR="009C7C1B" w:rsidRPr="009E0E08" w:rsidRDefault="009C7C1B" w:rsidP="009E0E08">
      <w:pPr>
        <w:pStyle w:val="ECHRPara"/>
        <w:rPr>
          <w:i/>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45</w:t>
      </w:r>
      <w:r w:rsidRPr="009E0E08">
        <w:rPr>
          <w:lang w:val="fr-FR"/>
        </w:rPr>
        <w:fldChar w:fldCharType="end"/>
      </w:r>
      <w:r w:rsidRPr="009E0E08">
        <w:rPr>
          <w:lang w:val="fr-FR"/>
        </w:rPr>
        <w:t>.  La Cour se focalisera ainsi sur la question centrale en jeu dans la présente affaire, à savoir si l</w:t>
      </w:r>
      <w:r w:rsidR="009E0E08" w:rsidRPr="009E0E08">
        <w:rPr>
          <w:lang w:val="fr-FR"/>
        </w:rPr>
        <w:t>’</w:t>
      </w:r>
      <w:r w:rsidRPr="009E0E08">
        <w:rPr>
          <w:lang w:val="fr-FR"/>
        </w:rPr>
        <w:t>ingérence litigieuse était proportionnée au but légitime poursuivi et si les motifs invoqués par les juridictions internes pour la justifier apparaissent pertinents et suffisants (</w:t>
      </w:r>
      <w:r w:rsidRPr="009E0E08">
        <w:rPr>
          <w:i/>
          <w:lang w:val="fr-FR"/>
        </w:rPr>
        <w:t>Kapsis et Danikas</w:t>
      </w:r>
      <w:r w:rsidRPr="009E0E08">
        <w:rPr>
          <w:lang w:val="fr-FR"/>
        </w:rPr>
        <w:t xml:space="preserve">, </w:t>
      </w:r>
      <w:r w:rsidR="00F8223C" w:rsidRPr="009E0E08">
        <w:rPr>
          <w:lang w:val="fr-FR"/>
        </w:rPr>
        <w:t xml:space="preserve">précité, </w:t>
      </w:r>
      <w:r w:rsidRPr="009E0E08">
        <w:rPr>
          <w:lang w:val="fr-FR"/>
        </w:rPr>
        <w:t>§ 31).</w:t>
      </w:r>
    </w:p>
    <w:p w:rsidR="009C7C1B" w:rsidRPr="009E0E08" w:rsidRDefault="009C7C1B" w:rsidP="009E0E08">
      <w:pPr>
        <w:pStyle w:val="ECHRHeading4"/>
        <w:rPr>
          <w:lang w:val="fr-FR"/>
        </w:rPr>
      </w:pPr>
      <w:r w:rsidRPr="009E0E08">
        <w:rPr>
          <w:lang w:val="fr-FR"/>
        </w:rPr>
        <w:t>a)  Principes généraux</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46</w:t>
      </w:r>
      <w:r w:rsidRPr="009E0E08">
        <w:rPr>
          <w:lang w:val="fr-FR"/>
        </w:rPr>
        <w:fldChar w:fldCharType="end"/>
      </w:r>
      <w:r w:rsidRPr="009E0E08">
        <w:rPr>
          <w:lang w:val="fr-FR"/>
        </w:rPr>
        <w:t>.  La Cour renvoie aux principes découlant de sa jurisprudence en matière de liberté d</w:t>
      </w:r>
      <w:r w:rsidR="009E0E08" w:rsidRPr="009E0E08">
        <w:rPr>
          <w:lang w:val="fr-FR"/>
        </w:rPr>
        <w:t>’</w:t>
      </w:r>
      <w:r w:rsidRPr="009E0E08">
        <w:rPr>
          <w:lang w:val="fr-FR"/>
        </w:rPr>
        <w:t>expression, lesquels sont résumés notamment dans l</w:t>
      </w:r>
      <w:r w:rsidR="009E0E08" w:rsidRPr="009E0E08">
        <w:rPr>
          <w:lang w:val="fr-FR"/>
        </w:rPr>
        <w:t>’</w:t>
      </w:r>
      <w:r w:rsidRPr="009E0E08">
        <w:rPr>
          <w:lang w:val="fr-FR"/>
        </w:rPr>
        <w:t xml:space="preserve">arrêt </w:t>
      </w:r>
      <w:r w:rsidRPr="009E0E08">
        <w:rPr>
          <w:i/>
          <w:lang w:val="fr-FR"/>
        </w:rPr>
        <w:t>Bédat c. Suisse</w:t>
      </w:r>
      <w:r w:rsidRPr="009E0E08">
        <w:rPr>
          <w:lang w:val="fr-FR"/>
        </w:rPr>
        <w:t xml:space="preserve"> ([GC], n</w:t>
      </w:r>
      <w:r w:rsidRPr="009E0E08">
        <w:rPr>
          <w:vertAlign w:val="superscript"/>
          <w:lang w:val="fr-FR"/>
        </w:rPr>
        <w:t>o</w:t>
      </w:r>
      <w:r w:rsidRPr="009E0E08">
        <w:rPr>
          <w:lang w:val="fr-FR"/>
        </w:rPr>
        <w:t xml:space="preserve"> 56925/08, § 48, 29 mars 2016). Les principes généraux relatifs à l</w:t>
      </w:r>
      <w:r w:rsidR="009E0E08" w:rsidRPr="009E0E08">
        <w:rPr>
          <w:lang w:val="fr-FR"/>
        </w:rPr>
        <w:t>’</w:t>
      </w:r>
      <w:r w:rsidRPr="009E0E08">
        <w:rPr>
          <w:lang w:val="fr-FR"/>
        </w:rPr>
        <w:t>article 10 de la Convention et la liberté de la presse ont été récemment résumés dans l</w:t>
      </w:r>
      <w:r w:rsidR="009E0E08" w:rsidRPr="009E0E08">
        <w:rPr>
          <w:lang w:val="fr-FR"/>
        </w:rPr>
        <w:t>’</w:t>
      </w:r>
      <w:r w:rsidRPr="009E0E08">
        <w:rPr>
          <w:lang w:val="fr-FR"/>
        </w:rPr>
        <w:t xml:space="preserve">arrêt </w:t>
      </w:r>
      <w:r w:rsidRPr="009E0E08">
        <w:rPr>
          <w:i/>
          <w:iCs/>
          <w:lang w:val="fr-FR"/>
        </w:rPr>
        <w:t>Satakunnan Markkinapörssi Oy et Satamedia Oy c. Finlande</w:t>
      </w:r>
      <w:r w:rsidRPr="009E0E08">
        <w:rPr>
          <w:lang w:val="fr-FR"/>
        </w:rPr>
        <w:t xml:space="preserve"> ([GC], n</w:t>
      </w:r>
      <w:r w:rsidRPr="009E0E08">
        <w:rPr>
          <w:vertAlign w:val="superscript"/>
          <w:lang w:val="fr-FR"/>
        </w:rPr>
        <w:t>o</w:t>
      </w:r>
      <w:r w:rsidRPr="009E0E08">
        <w:rPr>
          <w:lang w:val="fr-FR"/>
        </w:rPr>
        <w:t xml:space="preserve"> 931/13, §§ 125-128, 27 juin 2017).</w:t>
      </w:r>
    </w:p>
    <w:p w:rsidR="009C7C1B" w:rsidRPr="009E0E08" w:rsidRDefault="009C7C1B" w:rsidP="009E0E08">
      <w:pPr>
        <w:pStyle w:val="ECHRHeading4"/>
        <w:rPr>
          <w:lang w:val="fr-FR"/>
        </w:rPr>
      </w:pPr>
      <w:r w:rsidRPr="009E0E08">
        <w:rPr>
          <w:lang w:val="fr-FR"/>
        </w:rPr>
        <w:t>b)  Appréciation de la Cour</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47</w:t>
      </w:r>
      <w:r w:rsidRPr="009E0E08">
        <w:rPr>
          <w:lang w:val="fr-FR"/>
        </w:rPr>
        <w:fldChar w:fldCharType="end"/>
      </w:r>
      <w:r w:rsidRPr="009E0E08">
        <w:rPr>
          <w:lang w:val="fr-FR"/>
        </w:rPr>
        <w:t>.  La Cour observe tout d</w:t>
      </w:r>
      <w:r w:rsidR="009E0E08" w:rsidRPr="009E0E08">
        <w:rPr>
          <w:lang w:val="fr-FR"/>
        </w:rPr>
        <w:t>’</w:t>
      </w:r>
      <w:r w:rsidRPr="009E0E08">
        <w:rPr>
          <w:lang w:val="fr-FR"/>
        </w:rPr>
        <w:t>abord que les faits relatés dans l</w:t>
      </w:r>
      <w:r w:rsidR="009E0E08" w:rsidRPr="009E0E08">
        <w:rPr>
          <w:lang w:val="fr-FR"/>
        </w:rPr>
        <w:t>’</w:t>
      </w:r>
      <w:r w:rsidRPr="009E0E08">
        <w:rPr>
          <w:lang w:val="fr-FR"/>
        </w:rPr>
        <w:t>article litigieux portent assurément sur un sujet d</w:t>
      </w:r>
      <w:r w:rsidR="009E0E08" w:rsidRPr="009E0E08">
        <w:rPr>
          <w:lang w:val="fr-FR"/>
        </w:rPr>
        <w:t>’</w:t>
      </w:r>
      <w:r w:rsidRPr="009E0E08">
        <w:rPr>
          <w:lang w:val="fr-FR"/>
        </w:rPr>
        <w:t>intérêt général (</w:t>
      </w:r>
      <w:r w:rsidRPr="009E0E08">
        <w:rPr>
          <w:i/>
          <w:lang w:val="fr-FR"/>
        </w:rPr>
        <w:t>Thorgeir Thorgeirson c. Islande</w:t>
      </w:r>
      <w:r w:rsidRPr="009E0E08">
        <w:rPr>
          <w:lang w:val="fr-FR"/>
        </w:rPr>
        <w:t>, 25 juin 1992, § 64, série A n</w:t>
      </w:r>
      <w:r w:rsidRPr="009E0E08">
        <w:rPr>
          <w:rFonts w:cs="Times New Roman"/>
          <w:vertAlign w:val="superscript"/>
          <w:lang w:val="fr-FR"/>
        </w:rPr>
        <w:t>o</w:t>
      </w:r>
      <w:r w:rsidRPr="009E0E08">
        <w:rPr>
          <w:lang w:val="fr-FR"/>
        </w:rPr>
        <w:t xml:space="preserve"> 239) contribuant au débat public sur des faits controversés (</w:t>
      </w:r>
      <w:r w:rsidRPr="009E0E08">
        <w:rPr>
          <w:i/>
          <w:lang w:val="fr-FR"/>
        </w:rPr>
        <w:t>Orban et autres c. France</w:t>
      </w:r>
      <w:r w:rsidRPr="009E0E08">
        <w:rPr>
          <w:lang w:val="fr-FR"/>
        </w:rPr>
        <w:t>, n</w:t>
      </w:r>
      <w:r w:rsidRPr="009E0E08">
        <w:rPr>
          <w:vertAlign w:val="superscript"/>
          <w:lang w:val="fr-FR"/>
        </w:rPr>
        <w:t>o </w:t>
      </w:r>
      <w:r w:rsidRPr="009E0E08">
        <w:rPr>
          <w:lang w:val="fr-FR"/>
        </w:rPr>
        <w:t>20985/05, § 45, 15 janvier 2009) de l</w:t>
      </w:r>
      <w:r w:rsidR="009E0E08" w:rsidRPr="009E0E08">
        <w:rPr>
          <w:lang w:val="fr-FR"/>
        </w:rPr>
        <w:t>’</w:t>
      </w:r>
      <w:r w:rsidRPr="009E0E08">
        <w:rPr>
          <w:lang w:val="fr-FR"/>
        </w:rPr>
        <w:t>histoire italienne contemporaine, à savoir l</w:t>
      </w:r>
      <w:r w:rsidR="009E0E08" w:rsidRPr="009E0E08">
        <w:rPr>
          <w:lang w:val="fr-FR"/>
        </w:rPr>
        <w:t>’</w:t>
      </w:r>
      <w:r w:rsidRPr="009E0E08">
        <w:rPr>
          <w:lang w:val="fr-FR"/>
        </w:rPr>
        <w:t>assassinat d</w:t>
      </w:r>
      <w:r w:rsidR="009E0E08" w:rsidRPr="009E0E08">
        <w:rPr>
          <w:lang w:val="fr-FR"/>
        </w:rPr>
        <w:t>’</w:t>
      </w:r>
      <w:r w:rsidRPr="009E0E08">
        <w:rPr>
          <w:lang w:val="fr-FR"/>
        </w:rPr>
        <w:t>un journaliste de renommée, Walter Tobagi, par un groupe terroriste pendant les « années de plomb » et l</w:t>
      </w:r>
      <w:r w:rsidR="009E0E08" w:rsidRPr="009E0E08">
        <w:rPr>
          <w:lang w:val="fr-FR"/>
        </w:rPr>
        <w:t>’</w:t>
      </w:r>
      <w:r w:rsidRPr="009E0E08">
        <w:rPr>
          <w:lang w:val="fr-FR"/>
        </w:rPr>
        <w:t>influence de la loge maçonnique « P2 » sur les institutions. À la fonction de la presse qui consiste à diffuser des informations et des idées sur des questions d</w:t>
      </w:r>
      <w:r w:rsidR="009E0E08" w:rsidRPr="009E0E08">
        <w:rPr>
          <w:lang w:val="fr-FR"/>
        </w:rPr>
        <w:t>’</w:t>
      </w:r>
      <w:r w:rsidRPr="009E0E08">
        <w:rPr>
          <w:lang w:val="fr-FR"/>
        </w:rPr>
        <w:t>intérêt public s</w:t>
      </w:r>
      <w:r w:rsidR="009E0E08" w:rsidRPr="009E0E08">
        <w:rPr>
          <w:lang w:val="fr-FR"/>
        </w:rPr>
        <w:t>’</w:t>
      </w:r>
      <w:r w:rsidRPr="009E0E08">
        <w:rPr>
          <w:lang w:val="fr-FR"/>
        </w:rPr>
        <w:t>ajoute le droit pour le public d</w:t>
      </w:r>
      <w:r w:rsidR="009E0E08" w:rsidRPr="009E0E08">
        <w:rPr>
          <w:lang w:val="fr-FR"/>
        </w:rPr>
        <w:t>’</w:t>
      </w:r>
      <w:r w:rsidRPr="009E0E08">
        <w:rPr>
          <w:lang w:val="fr-FR"/>
        </w:rPr>
        <w:t>en recevoir (voir, parmi d</w:t>
      </w:r>
      <w:r w:rsidR="009E0E08" w:rsidRPr="009E0E08">
        <w:rPr>
          <w:lang w:val="fr-FR"/>
        </w:rPr>
        <w:t>’</w:t>
      </w:r>
      <w:r w:rsidRPr="009E0E08">
        <w:rPr>
          <w:lang w:val="fr-FR"/>
        </w:rPr>
        <w:t xml:space="preserve">autres, </w:t>
      </w:r>
      <w:r w:rsidRPr="009E0E08">
        <w:rPr>
          <w:i/>
          <w:lang w:val="fr-FR"/>
        </w:rPr>
        <w:t>Observer et Guardian c. Royaume-Uni</w:t>
      </w:r>
      <w:r w:rsidRPr="009E0E08">
        <w:rPr>
          <w:lang w:val="fr-FR"/>
        </w:rPr>
        <w:t>, 26 novembre 1991, § 59, série A n</w:t>
      </w:r>
      <w:r w:rsidRPr="009E0E08">
        <w:rPr>
          <w:rFonts w:cs="Times New Roman"/>
          <w:vertAlign w:val="superscript"/>
          <w:lang w:val="fr-FR"/>
        </w:rPr>
        <w:t>o</w:t>
      </w:r>
      <w:r w:rsidRPr="009E0E08">
        <w:rPr>
          <w:lang w:val="fr-FR"/>
        </w:rPr>
        <w:t xml:space="preserve"> 216, et </w:t>
      </w:r>
      <w:r w:rsidRPr="009E0E08">
        <w:rPr>
          <w:i/>
          <w:lang w:val="fr-FR"/>
        </w:rPr>
        <w:t>Dupuis et autres c. France</w:t>
      </w:r>
      <w:r w:rsidRPr="009E0E08">
        <w:rPr>
          <w:lang w:val="fr-FR"/>
        </w:rPr>
        <w:t>, n</w:t>
      </w:r>
      <w:r w:rsidRPr="009E0E08">
        <w:rPr>
          <w:vertAlign w:val="superscript"/>
          <w:lang w:val="fr-FR"/>
        </w:rPr>
        <w:t>o</w:t>
      </w:r>
      <w:r w:rsidRPr="009E0E08">
        <w:rPr>
          <w:lang w:val="fr-FR"/>
        </w:rPr>
        <w:t xml:space="preserve"> 1914/02, § 41, 7 juin 2007). Cela étant, la Cour remarque qu</w:t>
      </w:r>
      <w:r w:rsidR="009E0E08" w:rsidRPr="009E0E08">
        <w:rPr>
          <w:lang w:val="fr-FR"/>
        </w:rPr>
        <w:t>’</w:t>
      </w:r>
      <w:r w:rsidRPr="009E0E08">
        <w:rPr>
          <w:lang w:val="fr-FR"/>
        </w:rPr>
        <w:t>en l</w:t>
      </w:r>
      <w:r w:rsidR="009E0E08" w:rsidRPr="009E0E08">
        <w:rPr>
          <w:lang w:val="fr-FR"/>
        </w:rPr>
        <w:t>’</w:t>
      </w:r>
      <w:r w:rsidRPr="009E0E08">
        <w:rPr>
          <w:lang w:val="fr-FR"/>
        </w:rPr>
        <w:t>espèce le raisonnement des tribunaux internes ne montre pas que cette considération ait été jugée comme pertinente ni qu</w:t>
      </w:r>
      <w:r w:rsidR="009E0E08" w:rsidRPr="009E0E08">
        <w:rPr>
          <w:lang w:val="fr-FR"/>
        </w:rPr>
        <w:t>’</w:t>
      </w:r>
      <w:r w:rsidRPr="009E0E08">
        <w:rPr>
          <w:lang w:val="fr-FR"/>
        </w:rPr>
        <w:t>elle ait pesé dans leur appréciation de l</w:t>
      </w:r>
      <w:r w:rsidR="009E0E08" w:rsidRPr="009E0E08">
        <w:rPr>
          <w:lang w:val="fr-FR"/>
        </w:rPr>
        <w:t>’</w:t>
      </w:r>
      <w:r w:rsidRPr="009E0E08">
        <w:rPr>
          <w:lang w:val="fr-FR"/>
        </w:rPr>
        <w:t>affaire. Les tribunaux ont insisté sur le caractère « sensationnel » (</w:t>
      </w:r>
      <w:r w:rsidRPr="009E0E08">
        <w:rPr>
          <w:i/>
          <w:lang w:val="fr-FR"/>
        </w:rPr>
        <w:t>scandalistico</w:t>
      </w:r>
      <w:r w:rsidRPr="009E0E08">
        <w:rPr>
          <w:lang w:val="fr-FR"/>
        </w:rPr>
        <w:t>) de l</w:t>
      </w:r>
      <w:r w:rsidR="009E0E08" w:rsidRPr="009E0E08">
        <w:rPr>
          <w:lang w:val="fr-FR"/>
        </w:rPr>
        <w:t>’</w:t>
      </w:r>
      <w:r w:rsidRPr="009E0E08">
        <w:rPr>
          <w:lang w:val="fr-FR"/>
        </w:rPr>
        <w:t xml:space="preserve">article (paragraphes </w:t>
      </w:r>
      <w:r w:rsidRPr="009E0E08">
        <w:rPr>
          <w:lang w:val="fr-FR"/>
        </w:rPr>
        <w:fldChar w:fldCharType="begin"/>
      </w:r>
      <w:r w:rsidRPr="009E0E08">
        <w:rPr>
          <w:lang w:val="fr-FR"/>
        </w:rPr>
        <w:instrText xml:space="preserve"> REF TGI_MONZA \h  \* MERGEFORMAT </w:instrText>
      </w:r>
      <w:r w:rsidRPr="009E0E08">
        <w:rPr>
          <w:lang w:val="fr-FR"/>
        </w:rPr>
      </w:r>
      <w:r w:rsidRPr="009E0E08">
        <w:rPr>
          <w:lang w:val="fr-FR"/>
        </w:rPr>
        <w:fldChar w:fldCharType="separate"/>
      </w:r>
      <w:r w:rsidR="009E0E08" w:rsidRPr="009E0E08">
        <w:rPr>
          <w:lang w:val="fr-FR"/>
        </w:rPr>
        <w:t>17</w:t>
      </w:r>
      <w:r w:rsidRPr="009E0E08">
        <w:rPr>
          <w:lang w:val="fr-FR"/>
        </w:rPr>
        <w:fldChar w:fldCharType="end"/>
      </w:r>
      <w:r w:rsidRPr="009E0E08">
        <w:rPr>
          <w:lang w:val="fr-FR"/>
        </w:rPr>
        <w:t xml:space="preserve"> et </w:t>
      </w:r>
      <w:r w:rsidRPr="009E0E08">
        <w:rPr>
          <w:lang w:val="fr-FR"/>
        </w:rPr>
        <w:fldChar w:fldCharType="begin"/>
      </w:r>
      <w:r w:rsidRPr="009E0E08">
        <w:rPr>
          <w:lang w:val="fr-FR"/>
        </w:rPr>
        <w:instrText xml:space="preserve"> REF COUR_APPEL_MILAN \h  \* MERGEFORMAT </w:instrText>
      </w:r>
      <w:r w:rsidRPr="009E0E08">
        <w:rPr>
          <w:lang w:val="fr-FR"/>
        </w:rPr>
      </w:r>
      <w:r w:rsidRPr="009E0E08">
        <w:rPr>
          <w:lang w:val="fr-FR"/>
        </w:rPr>
        <w:fldChar w:fldCharType="separate"/>
      </w:r>
      <w:r w:rsidR="009E0E08" w:rsidRPr="009E0E08">
        <w:rPr>
          <w:lang w:val="fr-FR"/>
        </w:rPr>
        <w:t>21</w:t>
      </w:r>
      <w:r w:rsidRPr="009E0E08">
        <w:rPr>
          <w:lang w:val="fr-FR"/>
        </w:rPr>
        <w:fldChar w:fldCharType="end"/>
      </w:r>
      <w:r w:rsidRPr="009E0E08">
        <w:rPr>
          <w:lang w:val="fr-FR"/>
        </w:rPr>
        <w:t xml:space="preserve"> ci-dessus) sans mettre suffisamment en balance les différents valeurs et intérêts en conflit.</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48</w:t>
      </w:r>
      <w:r w:rsidRPr="009E0E08">
        <w:rPr>
          <w:lang w:val="fr-FR"/>
        </w:rPr>
        <w:fldChar w:fldCharType="end"/>
      </w:r>
      <w:r w:rsidRPr="009E0E08">
        <w:rPr>
          <w:lang w:val="fr-FR"/>
        </w:rPr>
        <w:t>.  La Cour note ensuite, en ce qui concerne le statut des personnes ciblées par les propos incriminés, qu</w:t>
      </w:r>
      <w:r w:rsidR="009E0E08" w:rsidRPr="009E0E08">
        <w:rPr>
          <w:lang w:val="fr-FR"/>
        </w:rPr>
        <w:t>’</w:t>
      </w:r>
      <w:r w:rsidRPr="009E0E08">
        <w:rPr>
          <w:lang w:val="fr-FR"/>
        </w:rPr>
        <w:t xml:space="preserve">A.R. et U.B. étaient deux officiers des </w:t>
      </w:r>
      <w:r w:rsidRPr="009E0E08">
        <w:rPr>
          <w:i/>
          <w:lang w:val="fr-FR"/>
        </w:rPr>
        <w:t xml:space="preserve">carabinieri </w:t>
      </w:r>
      <w:r w:rsidRPr="009E0E08">
        <w:rPr>
          <w:lang w:val="fr-FR"/>
        </w:rPr>
        <w:t>de la section antiterroriste de Milan, directement impliquée dans l</w:t>
      </w:r>
      <w:r w:rsidR="009E0E08" w:rsidRPr="009E0E08">
        <w:rPr>
          <w:lang w:val="fr-FR"/>
        </w:rPr>
        <w:t>’</w:t>
      </w:r>
      <w:r w:rsidRPr="009E0E08">
        <w:rPr>
          <w:lang w:val="fr-FR"/>
        </w:rPr>
        <w:t>enquête relative à la mort de Walter Tobagi. Les déclarations litigieuses portaient en particulier sur l</w:t>
      </w:r>
      <w:r w:rsidR="009E0E08" w:rsidRPr="009E0E08">
        <w:rPr>
          <w:lang w:val="fr-FR"/>
        </w:rPr>
        <w:t>’</w:t>
      </w:r>
      <w:r w:rsidRPr="009E0E08">
        <w:rPr>
          <w:lang w:val="fr-FR"/>
        </w:rPr>
        <w:t>activité professionnelle des deux hommes, et non pas sur des aspects de leur vie privée. Or la Cour rappelle que, si l</w:t>
      </w:r>
      <w:r w:rsidR="009E0E08" w:rsidRPr="009E0E08">
        <w:rPr>
          <w:lang w:val="fr-FR"/>
        </w:rPr>
        <w:t>’</w:t>
      </w:r>
      <w:r w:rsidRPr="009E0E08">
        <w:rPr>
          <w:lang w:val="fr-FR"/>
        </w:rPr>
        <w:t>on ne saurait dire que les fonctionnaires s</w:t>
      </w:r>
      <w:r w:rsidR="009E0E08" w:rsidRPr="009E0E08">
        <w:rPr>
          <w:lang w:val="fr-FR"/>
        </w:rPr>
        <w:t>’</w:t>
      </w:r>
      <w:r w:rsidRPr="009E0E08">
        <w:rPr>
          <w:lang w:val="fr-FR"/>
        </w:rPr>
        <w:t>exposent sciemment à un contrôle attentif de leurs faits à l</w:t>
      </w:r>
      <w:r w:rsidR="009E0E08" w:rsidRPr="009E0E08">
        <w:rPr>
          <w:lang w:val="fr-FR"/>
        </w:rPr>
        <w:t>’</w:t>
      </w:r>
      <w:r w:rsidRPr="009E0E08">
        <w:rPr>
          <w:lang w:val="fr-FR"/>
        </w:rPr>
        <w:t>instar des hommes politiques (</w:t>
      </w:r>
      <w:r w:rsidRPr="009E0E08">
        <w:rPr>
          <w:i/>
          <w:lang w:val="fr-FR"/>
        </w:rPr>
        <w:t>Busuioc c. Moldova</w:t>
      </w:r>
      <w:r w:rsidRPr="009E0E08">
        <w:rPr>
          <w:lang w:val="fr-FR"/>
        </w:rPr>
        <w:t>, n</w:t>
      </w:r>
      <w:r w:rsidRPr="009E0E08">
        <w:rPr>
          <w:vertAlign w:val="superscript"/>
          <w:lang w:val="fr-FR"/>
        </w:rPr>
        <w:t>o</w:t>
      </w:r>
      <w:r w:rsidRPr="009E0E08">
        <w:rPr>
          <w:lang w:val="fr-FR"/>
        </w:rPr>
        <w:t xml:space="preserve"> 61513/00, § 60, 21 décembre 2004, </w:t>
      </w:r>
      <w:r w:rsidRPr="009E0E08">
        <w:rPr>
          <w:i/>
          <w:lang w:val="fr-FR"/>
        </w:rPr>
        <w:t>Mamère c. France</w:t>
      </w:r>
      <w:r w:rsidRPr="009E0E08">
        <w:rPr>
          <w:lang w:val="fr-FR"/>
        </w:rPr>
        <w:t>, n</w:t>
      </w:r>
      <w:r w:rsidRPr="009E0E08">
        <w:rPr>
          <w:vertAlign w:val="superscript"/>
          <w:lang w:val="fr-FR"/>
        </w:rPr>
        <w:t>o</w:t>
      </w:r>
      <w:r w:rsidRPr="009E0E08">
        <w:rPr>
          <w:lang w:val="fr-FR"/>
        </w:rPr>
        <w:t xml:space="preserve"> 12697/03, § 27, CEDH 2006</w:t>
      </w:r>
      <w:r w:rsidRPr="009E0E08">
        <w:rPr>
          <w:lang w:val="fr-FR"/>
        </w:rPr>
        <w:noBreakHyphen/>
        <w:t>XIII</w:t>
      </w:r>
      <w:r w:rsidRPr="009E0E08">
        <w:rPr>
          <w:lang w:val="pl-PL"/>
        </w:rPr>
        <w:t>),</w:t>
      </w:r>
      <w:r w:rsidRPr="009E0E08">
        <w:rPr>
          <w:lang w:val="fr-FR"/>
        </w:rPr>
        <w:t xml:space="preserve"> les limites de la critique à l</w:t>
      </w:r>
      <w:r w:rsidR="009E0E08" w:rsidRPr="009E0E08">
        <w:rPr>
          <w:lang w:val="fr-FR"/>
        </w:rPr>
        <w:t>’</w:t>
      </w:r>
      <w:r w:rsidRPr="009E0E08">
        <w:rPr>
          <w:lang w:val="fr-FR"/>
        </w:rPr>
        <w:t>égard des fonctionnaires agissant en qualité de personnages publics dans l</w:t>
      </w:r>
      <w:r w:rsidR="009E0E08" w:rsidRPr="009E0E08">
        <w:rPr>
          <w:lang w:val="fr-FR"/>
        </w:rPr>
        <w:t>’</w:t>
      </w:r>
      <w:r w:rsidRPr="009E0E08">
        <w:rPr>
          <w:lang w:val="fr-FR"/>
        </w:rPr>
        <w:t>exercice de leurs fonctions officielles sont plus larges que pour les simples particuliers (voir, parmi d</w:t>
      </w:r>
      <w:r w:rsidR="009E0E08" w:rsidRPr="009E0E08">
        <w:rPr>
          <w:lang w:val="fr-FR"/>
        </w:rPr>
        <w:t>’</w:t>
      </w:r>
      <w:r w:rsidRPr="009E0E08">
        <w:rPr>
          <w:lang w:val="fr-FR"/>
        </w:rPr>
        <w:t xml:space="preserve">autres, </w:t>
      </w:r>
      <w:r w:rsidRPr="009E0E08">
        <w:rPr>
          <w:i/>
          <w:iCs/>
          <w:lang w:val="fr-FR"/>
        </w:rPr>
        <w:t>Medžlis Islamske Zajednice Brčko et autres c</w:t>
      </w:r>
      <w:r w:rsidR="00F8223C" w:rsidRPr="009E0E08">
        <w:rPr>
          <w:i/>
          <w:iCs/>
          <w:lang w:val="fr-FR"/>
        </w:rPr>
        <w:t>.</w:t>
      </w:r>
      <w:r w:rsidR="002E3AEC" w:rsidRPr="009E0E08">
        <w:rPr>
          <w:i/>
          <w:iCs/>
          <w:lang w:val="fr-FR"/>
        </w:rPr>
        <w:t> </w:t>
      </w:r>
      <w:r w:rsidRPr="009E0E08">
        <w:rPr>
          <w:i/>
          <w:iCs/>
          <w:lang w:val="fr-FR"/>
        </w:rPr>
        <w:t>Bosnie</w:t>
      </w:r>
      <w:r w:rsidR="002E3AEC" w:rsidRPr="009E0E08">
        <w:rPr>
          <w:i/>
          <w:iCs/>
          <w:lang w:val="fr-FR"/>
        </w:rPr>
        <w:noBreakHyphen/>
      </w:r>
      <w:r w:rsidRPr="009E0E08">
        <w:rPr>
          <w:i/>
          <w:iCs/>
          <w:lang w:val="fr-FR"/>
        </w:rPr>
        <w:t>Herzégovine</w:t>
      </w:r>
      <w:r w:rsidRPr="009E0E08">
        <w:rPr>
          <w:lang w:val="fr-FR"/>
        </w:rPr>
        <w:t xml:space="preserve"> [GC]</w:t>
      </w:r>
      <w:r w:rsidRPr="009E0E08">
        <w:rPr>
          <w:iCs/>
          <w:lang w:val="fr-FR"/>
        </w:rPr>
        <w:t xml:space="preserve">, </w:t>
      </w:r>
      <w:r w:rsidRPr="009E0E08">
        <w:rPr>
          <w:lang w:val="fr-FR"/>
        </w:rPr>
        <w:t>n</w:t>
      </w:r>
      <w:r w:rsidRPr="009E0E08">
        <w:rPr>
          <w:vertAlign w:val="superscript"/>
          <w:lang w:val="fr-FR"/>
        </w:rPr>
        <w:t>o</w:t>
      </w:r>
      <w:r w:rsidRPr="009E0E08">
        <w:rPr>
          <w:lang w:val="fr-FR"/>
        </w:rPr>
        <w:t xml:space="preserve"> 17224/11, § 98, 27 juin 2017, </w:t>
      </w:r>
      <w:r w:rsidRPr="009E0E08">
        <w:rPr>
          <w:i/>
          <w:lang w:val="fr-FR"/>
        </w:rPr>
        <w:t>Mariapori</w:t>
      </w:r>
      <w:r w:rsidR="00F8223C" w:rsidRPr="009E0E08">
        <w:rPr>
          <w:i/>
          <w:lang w:val="fr-FR"/>
        </w:rPr>
        <w:t xml:space="preserve"> </w:t>
      </w:r>
      <w:r w:rsidRPr="009E0E08">
        <w:rPr>
          <w:i/>
          <w:lang w:val="fr-FR"/>
        </w:rPr>
        <w:t>c.</w:t>
      </w:r>
      <w:r w:rsidR="002E3AEC" w:rsidRPr="009E0E08">
        <w:rPr>
          <w:i/>
          <w:lang w:val="fr-FR"/>
        </w:rPr>
        <w:t> </w:t>
      </w:r>
      <w:r w:rsidRPr="009E0E08">
        <w:rPr>
          <w:i/>
          <w:lang w:val="fr-FR"/>
        </w:rPr>
        <w:t>Finlande</w:t>
      </w:r>
      <w:r w:rsidRPr="009E0E08">
        <w:rPr>
          <w:lang w:val="fr-FR"/>
        </w:rPr>
        <w:t>, n</w:t>
      </w:r>
      <w:r w:rsidRPr="009E0E08">
        <w:rPr>
          <w:vertAlign w:val="superscript"/>
          <w:lang w:val="fr-FR"/>
        </w:rPr>
        <w:t>o</w:t>
      </w:r>
      <w:r w:rsidRPr="009E0E08">
        <w:rPr>
          <w:lang w:val="fr-FR"/>
        </w:rPr>
        <w:t xml:space="preserve"> 37751/07</w:t>
      </w:r>
      <w:r w:rsidRPr="009E0E08">
        <w:rPr>
          <w:snapToGrid w:val="0"/>
          <w:lang w:val="fr-FR"/>
        </w:rPr>
        <w:t xml:space="preserve">, § 56, 6 </w:t>
      </w:r>
      <w:r w:rsidRPr="009E0E08">
        <w:rPr>
          <w:lang w:val="fr-FR"/>
        </w:rPr>
        <w:t>juillet</w:t>
      </w:r>
      <w:r w:rsidRPr="009E0E08">
        <w:rPr>
          <w:snapToGrid w:val="0"/>
          <w:lang w:val="fr-FR"/>
        </w:rPr>
        <w:t xml:space="preserve"> 2010</w:t>
      </w:r>
      <w:r w:rsidRPr="009E0E08">
        <w:rPr>
          <w:lang w:val="fr-FR"/>
        </w:rPr>
        <w:t>). En l</w:t>
      </w:r>
      <w:r w:rsidR="009E0E08" w:rsidRPr="009E0E08">
        <w:rPr>
          <w:lang w:val="fr-FR"/>
        </w:rPr>
        <w:t>’</w:t>
      </w:r>
      <w:r w:rsidRPr="009E0E08">
        <w:rPr>
          <w:lang w:val="fr-FR"/>
        </w:rPr>
        <w:t>espèce, la Cour observe que les tribunaux internes ont axé leur appréciation du préjudice sur la réputation des deux officiers (paragraphes </w:t>
      </w:r>
      <w:r w:rsidRPr="009E0E08">
        <w:rPr>
          <w:lang w:val="fr-FR"/>
        </w:rPr>
        <w:fldChar w:fldCharType="begin"/>
      </w:r>
      <w:r w:rsidRPr="009E0E08">
        <w:rPr>
          <w:lang w:val="fr-FR"/>
        </w:rPr>
        <w:instrText xml:space="preserve"> REF TGI_MONZA \h  \* MERGEFORMAT </w:instrText>
      </w:r>
      <w:r w:rsidRPr="009E0E08">
        <w:rPr>
          <w:lang w:val="fr-FR"/>
        </w:rPr>
      </w:r>
      <w:r w:rsidRPr="009E0E08">
        <w:rPr>
          <w:lang w:val="fr-FR"/>
        </w:rPr>
        <w:fldChar w:fldCharType="separate"/>
      </w:r>
      <w:r w:rsidR="009E0E08" w:rsidRPr="009E0E08">
        <w:rPr>
          <w:lang w:val="fr-FR"/>
        </w:rPr>
        <w:t>17</w:t>
      </w:r>
      <w:r w:rsidRPr="009E0E08">
        <w:rPr>
          <w:lang w:val="fr-FR"/>
        </w:rPr>
        <w:fldChar w:fldCharType="end"/>
      </w:r>
      <w:r w:rsidRPr="009E0E08">
        <w:rPr>
          <w:lang w:val="fr-FR"/>
        </w:rPr>
        <w:t xml:space="preserve"> et </w:t>
      </w:r>
      <w:r w:rsidRPr="009E0E08">
        <w:rPr>
          <w:lang w:val="fr-FR"/>
        </w:rPr>
        <w:fldChar w:fldCharType="begin"/>
      </w:r>
      <w:r w:rsidRPr="009E0E08">
        <w:rPr>
          <w:lang w:val="fr-FR"/>
        </w:rPr>
        <w:instrText xml:space="preserve"> REF COUR_APPEL_MILAN \h </w:instrText>
      </w:r>
      <w:r w:rsidRPr="009E0E08">
        <w:rPr>
          <w:lang w:val="fr-FR"/>
        </w:rPr>
      </w:r>
      <w:r w:rsidRPr="009E0E08">
        <w:rPr>
          <w:lang w:val="fr-FR"/>
        </w:rPr>
        <w:fldChar w:fldCharType="separate"/>
      </w:r>
      <w:r w:rsidR="009E0E08" w:rsidRPr="009E0E08">
        <w:rPr>
          <w:noProof/>
          <w:lang w:val="fr-FR"/>
        </w:rPr>
        <w:t>21</w:t>
      </w:r>
      <w:r w:rsidRPr="009E0E08">
        <w:rPr>
          <w:lang w:val="fr-FR"/>
        </w:rPr>
        <w:fldChar w:fldCharType="end"/>
      </w:r>
      <w:r w:rsidRPr="009E0E08">
        <w:rPr>
          <w:lang w:val="fr-FR"/>
        </w:rPr>
        <w:t xml:space="preserve"> ci</w:t>
      </w:r>
      <w:r w:rsidR="002E3AEC" w:rsidRPr="009E0E08">
        <w:rPr>
          <w:lang w:val="fr-FR"/>
        </w:rPr>
        <w:noBreakHyphen/>
      </w:r>
      <w:r w:rsidRPr="009E0E08">
        <w:rPr>
          <w:lang w:val="fr-FR"/>
        </w:rPr>
        <w:t>dessus) sans prendre en considération que les impératifs de protection des fonctionnaires doivent, le cas échéant, être mis en balance avec les intérêts de la liberté de la presse ou de la libre discussion de questions d</w:t>
      </w:r>
      <w:r w:rsidR="009E0E08" w:rsidRPr="009E0E08">
        <w:rPr>
          <w:lang w:val="fr-FR"/>
        </w:rPr>
        <w:t>’</w:t>
      </w:r>
      <w:r w:rsidRPr="009E0E08">
        <w:rPr>
          <w:lang w:val="fr-FR"/>
        </w:rPr>
        <w:t>intérêt général (</w:t>
      </w:r>
      <w:r w:rsidRPr="009E0E08">
        <w:rPr>
          <w:i/>
          <w:lang w:val="fr-FR"/>
        </w:rPr>
        <w:t>Mamère</w:t>
      </w:r>
      <w:r w:rsidRPr="009E0E08">
        <w:rPr>
          <w:lang w:val="fr-FR"/>
        </w:rPr>
        <w:t>, précité,</w:t>
      </w:r>
      <w:r w:rsidR="00F8223C" w:rsidRPr="009E0E08">
        <w:rPr>
          <w:lang w:val="fr-FR"/>
        </w:rPr>
        <w:t xml:space="preserve"> § </w:t>
      </w:r>
      <w:r w:rsidRPr="009E0E08">
        <w:rPr>
          <w:lang w:val="fr-FR"/>
        </w:rPr>
        <w:t>27).</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49</w:t>
      </w:r>
      <w:r w:rsidRPr="009E0E08">
        <w:rPr>
          <w:lang w:val="fr-FR"/>
        </w:rPr>
        <w:fldChar w:fldCharType="end"/>
      </w:r>
      <w:r w:rsidRPr="009E0E08">
        <w:rPr>
          <w:lang w:val="fr-FR"/>
        </w:rPr>
        <w:t>.  En outre, la Cour estime que le ton général de l</w:t>
      </w:r>
      <w:r w:rsidR="009E0E08" w:rsidRPr="009E0E08">
        <w:rPr>
          <w:lang w:val="fr-FR"/>
        </w:rPr>
        <w:t>’</w:t>
      </w:r>
      <w:r w:rsidRPr="009E0E08">
        <w:rPr>
          <w:lang w:val="fr-FR"/>
        </w:rPr>
        <w:t>article n</w:t>
      </w:r>
      <w:r w:rsidR="009E0E08" w:rsidRPr="009E0E08">
        <w:rPr>
          <w:lang w:val="fr-FR"/>
        </w:rPr>
        <w:t>’</w:t>
      </w:r>
      <w:r w:rsidRPr="009E0E08">
        <w:rPr>
          <w:lang w:val="fr-FR"/>
        </w:rPr>
        <w:t>était pas offensant ou insultant (</w:t>
      </w:r>
      <w:r w:rsidRPr="009E0E08">
        <w:rPr>
          <w:i/>
          <w:lang w:val="fr-FR"/>
        </w:rPr>
        <w:t>Radobuljac c. Croatie</w:t>
      </w:r>
      <w:r w:rsidRPr="009E0E08">
        <w:rPr>
          <w:lang w:val="fr-FR"/>
        </w:rPr>
        <w:t>, n</w:t>
      </w:r>
      <w:r w:rsidRPr="009E0E08">
        <w:rPr>
          <w:vertAlign w:val="superscript"/>
          <w:lang w:val="fr-FR"/>
        </w:rPr>
        <w:t>o</w:t>
      </w:r>
      <w:r w:rsidRPr="009E0E08">
        <w:rPr>
          <w:lang w:val="fr-FR"/>
        </w:rPr>
        <w:t> 51000/11</w:t>
      </w:r>
      <w:r w:rsidRPr="009E0E08">
        <w:rPr>
          <w:snapToGrid w:val="0"/>
          <w:lang w:val="fr-FR"/>
        </w:rPr>
        <w:t>, § 66, 28</w:t>
      </w:r>
      <w:r w:rsidR="002E3AEC" w:rsidRPr="009E0E08">
        <w:rPr>
          <w:snapToGrid w:val="0"/>
          <w:lang w:val="fr-FR"/>
        </w:rPr>
        <w:t> </w:t>
      </w:r>
      <w:r w:rsidRPr="009E0E08">
        <w:rPr>
          <w:lang w:val="fr-FR"/>
        </w:rPr>
        <w:t>juin</w:t>
      </w:r>
      <w:r w:rsidR="00F8223C" w:rsidRPr="009E0E08">
        <w:rPr>
          <w:lang w:val="fr-FR"/>
        </w:rPr>
        <w:t xml:space="preserve"> </w:t>
      </w:r>
      <w:r w:rsidRPr="009E0E08">
        <w:rPr>
          <w:snapToGrid w:val="0"/>
          <w:lang w:val="fr-FR"/>
        </w:rPr>
        <w:t>2016)</w:t>
      </w:r>
      <w:r w:rsidRPr="009E0E08">
        <w:rPr>
          <w:lang w:val="fr-FR"/>
        </w:rPr>
        <w:t xml:space="preserve"> et que son contenu ne consistait pas en des attaques personnelles visant spécifiquement les deux officiers mis en cause (voir, </w:t>
      </w:r>
      <w:r w:rsidRPr="009E0E08">
        <w:rPr>
          <w:i/>
          <w:lang w:val="fr-FR"/>
        </w:rPr>
        <w:t>a</w:t>
      </w:r>
      <w:r w:rsidR="002E3AEC" w:rsidRPr="009E0E08">
        <w:rPr>
          <w:i/>
          <w:lang w:val="fr-FR"/>
        </w:rPr>
        <w:t> </w:t>
      </w:r>
      <w:r w:rsidRPr="009E0E08">
        <w:rPr>
          <w:i/>
          <w:lang w:val="fr-FR"/>
        </w:rPr>
        <w:t>contrario</w:t>
      </w:r>
      <w:r w:rsidRPr="009E0E08">
        <w:rPr>
          <w:lang w:val="fr-FR"/>
        </w:rPr>
        <w:t xml:space="preserve">, </w:t>
      </w:r>
      <w:r w:rsidRPr="009E0E08">
        <w:rPr>
          <w:i/>
          <w:lang w:val="fr-FR"/>
        </w:rPr>
        <w:t>Perna c.</w:t>
      </w:r>
      <w:r w:rsidR="00F8223C" w:rsidRPr="009E0E08">
        <w:rPr>
          <w:i/>
          <w:lang w:val="fr-FR"/>
        </w:rPr>
        <w:t xml:space="preserve"> </w:t>
      </w:r>
      <w:r w:rsidRPr="009E0E08">
        <w:rPr>
          <w:i/>
          <w:lang w:val="fr-FR"/>
        </w:rPr>
        <w:t>Italie</w:t>
      </w:r>
      <w:r w:rsidRPr="009E0E08">
        <w:rPr>
          <w:lang w:val="fr-FR"/>
        </w:rPr>
        <w:t xml:space="preserve"> [GC], n</w:t>
      </w:r>
      <w:r w:rsidRPr="009E0E08">
        <w:rPr>
          <w:vertAlign w:val="superscript"/>
          <w:lang w:val="fr-FR"/>
        </w:rPr>
        <w:t>o</w:t>
      </w:r>
      <w:r w:rsidRPr="009E0E08">
        <w:rPr>
          <w:lang w:val="fr-FR"/>
        </w:rPr>
        <w:t xml:space="preserve"> 48898/99, §§ 13 et 47</w:t>
      </w:r>
      <w:r w:rsidR="00F8223C" w:rsidRPr="009E0E08">
        <w:rPr>
          <w:lang w:val="fr-FR"/>
        </w:rPr>
        <w:t>, CEDH </w:t>
      </w:r>
      <w:r w:rsidRPr="009E0E08">
        <w:rPr>
          <w:lang w:val="fr-FR"/>
        </w:rPr>
        <w:t>2003</w:t>
      </w:r>
      <w:r w:rsidRPr="009E0E08">
        <w:rPr>
          <w:lang w:val="fr-FR"/>
        </w:rPr>
        <w:noBreakHyphen/>
        <w:t>V). À cet égard, on notera que les requérants ont pris soin d</w:t>
      </w:r>
      <w:r w:rsidR="009E0E08" w:rsidRPr="009E0E08">
        <w:rPr>
          <w:lang w:val="fr-FR"/>
        </w:rPr>
        <w:t>’</w:t>
      </w:r>
      <w:r w:rsidRPr="009E0E08">
        <w:rPr>
          <w:lang w:val="fr-FR"/>
        </w:rPr>
        <w:t xml:space="preserve">indiquer que la réputation des </w:t>
      </w:r>
      <w:r w:rsidRPr="009E0E08">
        <w:rPr>
          <w:i/>
          <w:lang w:val="fr-FR"/>
        </w:rPr>
        <w:t>carabinieri</w:t>
      </w:r>
      <w:r w:rsidRPr="009E0E08">
        <w:rPr>
          <w:lang w:val="fr-FR"/>
        </w:rPr>
        <w:t xml:space="preserve"> n</w:t>
      </w:r>
      <w:r w:rsidR="009E0E08" w:rsidRPr="009E0E08">
        <w:rPr>
          <w:lang w:val="fr-FR"/>
        </w:rPr>
        <w:t>’</w:t>
      </w:r>
      <w:r w:rsidRPr="009E0E08">
        <w:rPr>
          <w:lang w:val="fr-FR"/>
        </w:rPr>
        <w:t>était pas en cause et que le but de l</w:t>
      </w:r>
      <w:r w:rsidR="009E0E08" w:rsidRPr="009E0E08">
        <w:rPr>
          <w:lang w:val="fr-FR"/>
        </w:rPr>
        <w:t>’</w:t>
      </w:r>
      <w:r w:rsidRPr="009E0E08">
        <w:rPr>
          <w:lang w:val="fr-FR"/>
        </w:rPr>
        <w:t xml:space="preserve">article était de « rétablir la vérité » et de se questionner sur le fonctionnement du corps des </w:t>
      </w:r>
      <w:r w:rsidRPr="009E0E08">
        <w:rPr>
          <w:i/>
          <w:lang w:val="fr-FR"/>
        </w:rPr>
        <w:t>carabinieri</w:t>
      </w:r>
      <w:r w:rsidRPr="009E0E08">
        <w:rPr>
          <w:lang w:val="fr-FR"/>
        </w:rPr>
        <w:t xml:space="preserve"> pendant les « années de plomb » (paragraphe </w:t>
      </w:r>
      <w:r w:rsidRPr="009E0E08">
        <w:rPr>
          <w:lang w:val="fr-FR"/>
        </w:rPr>
        <w:fldChar w:fldCharType="begin"/>
      </w:r>
      <w:r w:rsidRPr="009E0E08">
        <w:rPr>
          <w:lang w:val="fr-FR"/>
        </w:rPr>
        <w:instrText xml:space="preserve"> REF ARTICLE_INTRODUCTION \h </w:instrText>
      </w:r>
      <w:r w:rsidRPr="009E0E08">
        <w:rPr>
          <w:lang w:val="fr-FR"/>
        </w:rPr>
      </w:r>
      <w:r w:rsidRPr="009E0E08">
        <w:rPr>
          <w:lang w:val="fr-FR"/>
        </w:rPr>
        <w:fldChar w:fldCharType="separate"/>
      </w:r>
      <w:r w:rsidR="009E0E08" w:rsidRPr="009E0E08">
        <w:rPr>
          <w:noProof/>
          <w:lang w:val="fr-FR"/>
        </w:rPr>
        <w:t>11</w:t>
      </w:r>
      <w:r w:rsidRPr="009E0E08">
        <w:rPr>
          <w:lang w:val="fr-FR"/>
        </w:rPr>
        <w:fldChar w:fldCharType="end"/>
      </w:r>
      <w:r w:rsidRPr="009E0E08">
        <w:rPr>
          <w:lang w:val="fr-FR"/>
        </w:rPr>
        <w:t xml:space="preserve"> ci-dessus).</w:t>
      </w:r>
    </w:p>
    <w:p w:rsidR="009C7C1B" w:rsidRPr="009E0E08" w:rsidRDefault="009C7C1B" w:rsidP="009E0E08">
      <w:pPr>
        <w:pStyle w:val="ECHRPara"/>
        <w:rPr>
          <w:i/>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50</w:t>
      </w:r>
      <w:r w:rsidRPr="009E0E08">
        <w:rPr>
          <w:lang w:val="fr-FR"/>
        </w:rPr>
        <w:fldChar w:fldCharType="end"/>
      </w:r>
      <w:r w:rsidRPr="009E0E08">
        <w:rPr>
          <w:lang w:val="fr-FR"/>
        </w:rPr>
        <w:t>.  La Cour relève en outre, pour ce qui est de la structure de l</w:t>
      </w:r>
      <w:r w:rsidR="009E0E08" w:rsidRPr="009E0E08">
        <w:rPr>
          <w:lang w:val="fr-FR"/>
        </w:rPr>
        <w:t>’</w:t>
      </w:r>
      <w:r w:rsidRPr="009E0E08">
        <w:rPr>
          <w:lang w:val="fr-FR"/>
        </w:rPr>
        <w:t>article contesté, que celui-ci portait principalement sur deux entretiens (paragraphe </w:t>
      </w:r>
      <w:r w:rsidRPr="009E0E08">
        <w:rPr>
          <w:lang w:val="fr-FR"/>
        </w:rPr>
        <w:fldChar w:fldCharType="begin"/>
      </w:r>
      <w:r w:rsidRPr="009E0E08">
        <w:rPr>
          <w:lang w:val="fr-FR"/>
        </w:rPr>
        <w:instrText xml:space="preserve"> REF ARTICLE_INTERVIEWS \h  \* MERGEFORMAT </w:instrText>
      </w:r>
      <w:r w:rsidRPr="009E0E08">
        <w:rPr>
          <w:lang w:val="fr-FR"/>
        </w:rPr>
      </w:r>
      <w:r w:rsidRPr="009E0E08">
        <w:rPr>
          <w:lang w:val="fr-FR"/>
        </w:rPr>
        <w:fldChar w:fldCharType="separate"/>
      </w:r>
      <w:r w:rsidR="009E0E08" w:rsidRPr="009E0E08">
        <w:rPr>
          <w:lang w:val="fr-FR"/>
        </w:rPr>
        <w:t>12</w:t>
      </w:r>
      <w:r w:rsidRPr="009E0E08">
        <w:rPr>
          <w:lang w:val="fr-FR"/>
        </w:rPr>
        <w:fldChar w:fldCharType="end"/>
      </w:r>
      <w:r w:rsidRPr="009E0E08">
        <w:rPr>
          <w:lang w:val="fr-FR"/>
        </w:rPr>
        <w:t xml:space="preserve"> ci-dessus) : le premier concernait les propos de D.C., ancien brigadier des </w:t>
      </w:r>
      <w:r w:rsidRPr="009E0E08">
        <w:rPr>
          <w:i/>
          <w:lang w:val="fr-FR"/>
        </w:rPr>
        <w:t>carabinieri</w:t>
      </w:r>
      <w:r w:rsidRPr="009E0E08">
        <w:rPr>
          <w:lang w:val="fr-FR"/>
        </w:rPr>
        <w:t xml:space="preserve"> qui, à l</w:t>
      </w:r>
      <w:r w:rsidR="009E0E08" w:rsidRPr="009E0E08">
        <w:rPr>
          <w:lang w:val="fr-FR"/>
        </w:rPr>
        <w:t>’</w:t>
      </w:r>
      <w:r w:rsidRPr="009E0E08">
        <w:rPr>
          <w:lang w:val="fr-FR"/>
        </w:rPr>
        <w:t>époque des faits relatés, faisait partie de la section antiterroriste de Milan ; le second visait les déclarations du général N.B., à l</w:t>
      </w:r>
      <w:r w:rsidR="009E0E08" w:rsidRPr="009E0E08">
        <w:rPr>
          <w:lang w:val="fr-FR"/>
        </w:rPr>
        <w:t>’</w:t>
      </w:r>
      <w:r w:rsidRPr="009E0E08">
        <w:rPr>
          <w:lang w:val="fr-FR"/>
        </w:rPr>
        <w:t>époque proche collaborateur du général Dalla Chiesa, chef de la coordination de la lutte contre le terrorisme dans l</w:t>
      </w:r>
      <w:r w:rsidR="009E0E08" w:rsidRPr="009E0E08">
        <w:rPr>
          <w:lang w:val="fr-FR"/>
        </w:rPr>
        <w:t>’</w:t>
      </w:r>
      <w:r w:rsidRPr="009E0E08">
        <w:rPr>
          <w:lang w:val="fr-FR"/>
        </w:rPr>
        <w:t>Italie du Nord. Le premier requérant avait rédigé le titre, les sous-titres, l</w:t>
      </w:r>
      <w:r w:rsidR="009E0E08" w:rsidRPr="009E0E08">
        <w:rPr>
          <w:lang w:val="fr-FR"/>
        </w:rPr>
        <w:t>’</w:t>
      </w:r>
      <w:r w:rsidRPr="009E0E08">
        <w:rPr>
          <w:lang w:val="fr-FR"/>
        </w:rPr>
        <w:t>introduction et les éléments de liaison de l</w:t>
      </w:r>
      <w:r w:rsidR="009E0E08" w:rsidRPr="009E0E08">
        <w:rPr>
          <w:lang w:val="fr-FR"/>
        </w:rPr>
        <w:t>’</w:t>
      </w:r>
      <w:r w:rsidRPr="009E0E08">
        <w:rPr>
          <w:lang w:val="fr-FR"/>
        </w:rPr>
        <w:t>article. La Cour constate que les passages dont le premier requérant est l</w:t>
      </w:r>
      <w:r w:rsidR="009E0E08" w:rsidRPr="009E0E08">
        <w:rPr>
          <w:lang w:val="fr-FR"/>
        </w:rPr>
        <w:t>’</w:t>
      </w:r>
      <w:r w:rsidRPr="009E0E08">
        <w:rPr>
          <w:lang w:val="fr-FR"/>
        </w:rPr>
        <w:t xml:space="preserve">auteur sont pour la plupart des résumés des déclarations de D.C. et de N.B. (paragraphe </w:t>
      </w:r>
      <w:r w:rsidRPr="009E0E08">
        <w:rPr>
          <w:lang w:val="fr-FR"/>
        </w:rPr>
        <w:fldChar w:fldCharType="begin"/>
      </w:r>
      <w:r w:rsidRPr="009E0E08">
        <w:rPr>
          <w:lang w:val="fr-FR"/>
        </w:rPr>
        <w:instrText xml:space="preserve"> REF ARTICLE_INTRODUCTION \h  \* MERGEFORMAT </w:instrText>
      </w:r>
      <w:r w:rsidRPr="009E0E08">
        <w:rPr>
          <w:lang w:val="fr-FR"/>
        </w:rPr>
      </w:r>
      <w:r w:rsidRPr="009E0E08">
        <w:rPr>
          <w:lang w:val="fr-FR"/>
        </w:rPr>
        <w:fldChar w:fldCharType="separate"/>
      </w:r>
      <w:r w:rsidR="009E0E08" w:rsidRPr="009E0E08">
        <w:rPr>
          <w:lang w:val="fr-FR"/>
        </w:rPr>
        <w:t>11</w:t>
      </w:r>
      <w:r w:rsidRPr="009E0E08">
        <w:rPr>
          <w:lang w:val="fr-FR"/>
        </w:rPr>
        <w:fldChar w:fldCharType="end"/>
      </w:r>
      <w:r w:rsidRPr="009E0E08">
        <w:rPr>
          <w:lang w:val="fr-FR"/>
        </w:rPr>
        <w:t xml:space="preserve"> ci-dessus). Elle observe en revanche que le titre « Tobagi aurait pu être sauvé », le passage « (...) lorsque [A.] a démissionné, les ennuis ont commencé » de l</w:t>
      </w:r>
      <w:r w:rsidR="009E0E08" w:rsidRPr="009E0E08">
        <w:rPr>
          <w:lang w:val="fr-FR"/>
        </w:rPr>
        <w:t>’</w:t>
      </w:r>
      <w:r w:rsidRPr="009E0E08">
        <w:rPr>
          <w:lang w:val="fr-FR"/>
        </w:rPr>
        <w:t>un des sous</w:t>
      </w:r>
      <w:r w:rsidRPr="009E0E08">
        <w:rPr>
          <w:lang w:val="fr-FR"/>
        </w:rPr>
        <w:noBreakHyphen/>
        <w:t xml:space="preserve">titres (paragraphe </w:t>
      </w:r>
      <w:r w:rsidRPr="009E0E08">
        <w:rPr>
          <w:lang w:val="fr-FR"/>
        </w:rPr>
        <w:fldChar w:fldCharType="begin"/>
      </w:r>
      <w:r w:rsidRPr="009E0E08">
        <w:rPr>
          <w:lang w:val="fr-FR"/>
        </w:rPr>
        <w:instrText xml:space="preserve"> REF ARTICLE_TITRE_SOUSTITRES \h  \* MERGEFORMAT </w:instrText>
      </w:r>
      <w:r w:rsidRPr="009E0E08">
        <w:rPr>
          <w:lang w:val="fr-FR"/>
        </w:rPr>
      </w:r>
      <w:r w:rsidRPr="009E0E08">
        <w:rPr>
          <w:lang w:val="fr-FR"/>
        </w:rPr>
        <w:fldChar w:fldCharType="separate"/>
      </w:r>
      <w:r w:rsidR="009E0E08" w:rsidRPr="009E0E08">
        <w:rPr>
          <w:lang w:val="fr-FR"/>
        </w:rPr>
        <w:t>8</w:t>
      </w:r>
      <w:r w:rsidRPr="009E0E08">
        <w:rPr>
          <w:lang w:val="fr-FR"/>
        </w:rPr>
        <w:fldChar w:fldCharType="end"/>
      </w:r>
      <w:r w:rsidRPr="009E0E08">
        <w:rPr>
          <w:lang w:val="fr-FR"/>
        </w:rPr>
        <w:t xml:space="preserve"> ci</w:t>
      </w:r>
      <w:r w:rsidRPr="009E0E08">
        <w:rPr>
          <w:lang w:val="fr-FR"/>
        </w:rPr>
        <w:noBreakHyphen/>
        <w:t>dessus), ainsi que l</w:t>
      </w:r>
      <w:r w:rsidR="009E0E08" w:rsidRPr="009E0E08">
        <w:rPr>
          <w:lang w:val="fr-FR"/>
        </w:rPr>
        <w:t>’</w:t>
      </w:r>
      <w:r w:rsidRPr="009E0E08">
        <w:rPr>
          <w:lang w:val="fr-FR"/>
        </w:rPr>
        <w:t>introduction de l</w:t>
      </w:r>
      <w:r w:rsidR="009E0E08" w:rsidRPr="009E0E08">
        <w:rPr>
          <w:lang w:val="fr-FR"/>
        </w:rPr>
        <w:t>’</w:t>
      </w:r>
      <w:r w:rsidRPr="009E0E08">
        <w:rPr>
          <w:lang w:val="fr-FR"/>
        </w:rPr>
        <w:t>article, lue dans sa globalité, peuvent être assimilés à des jugements de valeur (</w:t>
      </w:r>
      <w:r w:rsidRPr="009E0E08">
        <w:rPr>
          <w:i/>
          <w:lang w:val="fr-FR"/>
        </w:rPr>
        <w:t>Thorgeir Thorgeirson c. Islande</w:t>
      </w:r>
      <w:r w:rsidRPr="009E0E08">
        <w:rPr>
          <w:lang w:val="fr-FR"/>
        </w:rPr>
        <w:t>, 25 juin 1992, § 65, série A n</w:t>
      </w:r>
      <w:r w:rsidRPr="009E0E08">
        <w:rPr>
          <w:rFonts w:cs="Times New Roman"/>
          <w:vertAlign w:val="superscript"/>
          <w:lang w:val="fr-FR"/>
        </w:rPr>
        <w:t>o </w:t>
      </w:r>
      <w:r w:rsidRPr="009E0E08">
        <w:rPr>
          <w:lang w:val="fr-FR"/>
        </w:rPr>
        <w:t>239). La cour d</w:t>
      </w:r>
      <w:r w:rsidR="009E0E08" w:rsidRPr="009E0E08">
        <w:rPr>
          <w:lang w:val="fr-FR"/>
        </w:rPr>
        <w:t>’</w:t>
      </w:r>
      <w:r w:rsidRPr="009E0E08">
        <w:rPr>
          <w:lang w:val="fr-FR"/>
        </w:rPr>
        <w:t>appel de Milan est d</w:t>
      </w:r>
      <w:r w:rsidR="009E0E08" w:rsidRPr="009E0E08">
        <w:rPr>
          <w:lang w:val="fr-FR"/>
        </w:rPr>
        <w:t>’</w:t>
      </w:r>
      <w:r w:rsidRPr="009E0E08">
        <w:rPr>
          <w:lang w:val="fr-FR"/>
        </w:rPr>
        <w:t>ailleurs allée dans le même sens lorsqu</w:t>
      </w:r>
      <w:r w:rsidR="009E0E08" w:rsidRPr="009E0E08">
        <w:rPr>
          <w:lang w:val="fr-FR"/>
        </w:rPr>
        <w:t>’</w:t>
      </w:r>
      <w:r w:rsidRPr="009E0E08">
        <w:rPr>
          <w:lang w:val="fr-FR"/>
        </w:rPr>
        <w:t>elle a indiqué que le premier requérant était l</w:t>
      </w:r>
      <w:r w:rsidR="009E0E08" w:rsidRPr="009E0E08">
        <w:rPr>
          <w:lang w:val="fr-FR"/>
        </w:rPr>
        <w:t>’</w:t>
      </w:r>
      <w:r w:rsidRPr="009E0E08">
        <w:rPr>
          <w:lang w:val="fr-FR"/>
        </w:rPr>
        <w:t xml:space="preserve">auteur des titres, des sous-titres et des « commentaires personnels » (paragraphe </w:t>
      </w:r>
      <w:r w:rsidRPr="009E0E08">
        <w:rPr>
          <w:lang w:val="fr-FR"/>
        </w:rPr>
        <w:fldChar w:fldCharType="begin"/>
      </w:r>
      <w:r w:rsidRPr="009E0E08">
        <w:rPr>
          <w:lang w:val="fr-FR"/>
        </w:rPr>
        <w:instrText xml:space="preserve"> REF COUR_APPEL_MILAN \h </w:instrText>
      </w:r>
      <w:r w:rsidRPr="009E0E08">
        <w:rPr>
          <w:lang w:val="fr-FR"/>
        </w:rPr>
      </w:r>
      <w:r w:rsidRPr="009E0E08">
        <w:rPr>
          <w:lang w:val="fr-FR"/>
        </w:rPr>
        <w:fldChar w:fldCharType="separate"/>
      </w:r>
      <w:r w:rsidR="009E0E08" w:rsidRPr="009E0E08">
        <w:rPr>
          <w:noProof/>
          <w:lang w:val="fr-FR"/>
        </w:rPr>
        <w:t>21</w:t>
      </w:r>
      <w:r w:rsidRPr="009E0E08">
        <w:rPr>
          <w:lang w:val="fr-FR"/>
        </w:rPr>
        <w:fldChar w:fldCharType="end"/>
      </w:r>
      <w:r w:rsidRPr="009E0E08">
        <w:rPr>
          <w:lang w:val="fr-FR"/>
        </w:rPr>
        <w:t xml:space="preserve"> ci-dessus). Il convient également de noter que les déclarations de D.C. n</w:t>
      </w:r>
      <w:r w:rsidR="009E0E08" w:rsidRPr="009E0E08">
        <w:rPr>
          <w:lang w:val="fr-FR"/>
        </w:rPr>
        <w:t>’</w:t>
      </w:r>
      <w:r w:rsidRPr="009E0E08">
        <w:rPr>
          <w:lang w:val="fr-FR"/>
        </w:rPr>
        <w:t xml:space="preserve">ont pas été réécrites par le premier requérant (voir, </w:t>
      </w:r>
      <w:r w:rsidRPr="009E0E08">
        <w:rPr>
          <w:i/>
          <w:lang w:val="fr-FR"/>
        </w:rPr>
        <w:t>a contrario</w:t>
      </w:r>
      <w:r w:rsidRPr="009E0E08">
        <w:rPr>
          <w:lang w:val="fr-FR"/>
        </w:rPr>
        <w:t xml:space="preserve">, </w:t>
      </w:r>
      <w:r w:rsidRPr="009E0E08">
        <w:rPr>
          <w:i/>
          <w:lang w:val="fr-FR"/>
        </w:rPr>
        <w:t>Dyundin c. Russie</w:t>
      </w:r>
      <w:r w:rsidRPr="009E0E08">
        <w:rPr>
          <w:lang w:val="fr-FR"/>
        </w:rPr>
        <w:t>, n</w:t>
      </w:r>
      <w:r w:rsidRPr="009E0E08">
        <w:rPr>
          <w:vertAlign w:val="superscript"/>
          <w:lang w:val="fr-FR"/>
        </w:rPr>
        <w:t>o</w:t>
      </w:r>
      <w:r w:rsidRPr="009E0E08">
        <w:rPr>
          <w:lang w:val="fr-FR"/>
        </w:rPr>
        <w:t xml:space="preserve"> 37406/03, § 37, 14 octobre 2008) ni remaniées (</w:t>
      </w:r>
      <w:r w:rsidRPr="009E0E08">
        <w:rPr>
          <w:i/>
          <w:lang w:val="fr-FR"/>
        </w:rPr>
        <w:t>Stoll c. Suisse</w:t>
      </w:r>
      <w:r w:rsidRPr="009E0E08">
        <w:rPr>
          <w:lang w:val="fr-FR"/>
        </w:rPr>
        <w:t xml:space="preserve"> [GC], n</w:t>
      </w:r>
      <w:r w:rsidRPr="009E0E08">
        <w:rPr>
          <w:vertAlign w:val="superscript"/>
          <w:lang w:val="fr-FR"/>
        </w:rPr>
        <w:t>o </w:t>
      </w:r>
      <w:r w:rsidRPr="009E0E08">
        <w:rPr>
          <w:lang w:val="fr-FR"/>
        </w:rPr>
        <w:t>69698/01, §§ 145</w:t>
      </w:r>
      <w:r w:rsidR="002E3AEC" w:rsidRPr="009E0E08">
        <w:rPr>
          <w:lang w:val="fr-FR"/>
        </w:rPr>
        <w:noBreakHyphen/>
      </w:r>
      <w:r w:rsidRPr="009E0E08">
        <w:rPr>
          <w:lang w:val="fr-FR"/>
        </w:rPr>
        <w:t>152, CEDH 2007</w:t>
      </w:r>
      <w:r w:rsidRPr="009E0E08">
        <w:rPr>
          <w:lang w:val="fr-FR"/>
        </w:rPr>
        <w:noBreakHyphen/>
        <w:t>V). Quant au ton des commentaires du premier requérant, la Cour ne voit pas d</w:t>
      </w:r>
      <w:r w:rsidR="009E0E08" w:rsidRPr="009E0E08">
        <w:rPr>
          <w:lang w:val="fr-FR"/>
        </w:rPr>
        <w:t>’</w:t>
      </w:r>
      <w:r w:rsidRPr="009E0E08">
        <w:rPr>
          <w:lang w:val="fr-FR"/>
        </w:rPr>
        <w:t>éléments indiquant que ce dernier ait dépassé les bornes de la dose d</w:t>
      </w:r>
      <w:r w:rsidR="009E0E08" w:rsidRPr="009E0E08">
        <w:rPr>
          <w:lang w:val="fr-FR"/>
        </w:rPr>
        <w:t>’</w:t>
      </w:r>
      <w:r w:rsidRPr="009E0E08">
        <w:rPr>
          <w:lang w:val="fr-FR"/>
        </w:rPr>
        <w:t>exagération généralement acceptée (</w:t>
      </w:r>
      <w:r w:rsidRPr="009E0E08">
        <w:rPr>
          <w:i/>
          <w:lang w:val="fr-FR"/>
        </w:rPr>
        <w:t>Gawęda c. Pologne</w:t>
      </w:r>
      <w:r w:rsidRPr="009E0E08">
        <w:rPr>
          <w:lang w:val="fr-FR"/>
        </w:rPr>
        <w:t xml:space="preserve">, </w:t>
      </w:r>
      <w:r w:rsidRPr="009E0E08">
        <w:rPr>
          <w:sz w:val="22"/>
          <w:lang w:val="fr-FR"/>
        </w:rPr>
        <w:t>n</w:t>
      </w:r>
      <w:r w:rsidRPr="009E0E08">
        <w:rPr>
          <w:sz w:val="22"/>
          <w:vertAlign w:val="superscript"/>
          <w:lang w:val="fr-FR"/>
        </w:rPr>
        <w:t>o</w:t>
      </w:r>
      <w:r w:rsidRPr="009E0E08">
        <w:rPr>
          <w:sz w:val="22"/>
          <w:lang w:val="fr-FR"/>
        </w:rPr>
        <w:t> 26229</w:t>
      </w:r>
      <w:r w:rsidRPr="009E0E08">
        <w:rPr>
          <w:lang w:val="fr-FR"/>
        </w:rPr>
        <w:t xml:space="preserve">/95, § 34 </w:t>
      </w:r>
      <w:r w:rsidRPr="009E0E08">
        <w:rPr>
          <w:i/>
          <w:lang w:val="fr-FR"/>
        </w:rPr>
        <w:t>in fine</w:t>
      </w:r>
      <w:r w:rsidRPr="009E0E08">
        <w:rPr>
          <w:lang w:val="fr-FR"/>
        </w:rPr>
        <w:t>, CEDH 2002</w:t>
      </w:r>
      <w:r w:rsidRPr="009E0E08">
        <w:rPr>
          <w:lang w:val="fr-FR"/>
        </w:rPr>
        <w:noBreakHyphen/>
        <w:t>II).</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51</w:t>
      </w:r>
      <w:r w:rsidRPr="009E0E08">
        <w:rPr>
          <w:lang w:val="fr-FR"/>
        </w:rPr>
        <w:fldChar w:fldCharType="end"/>
      </w:r>
      <w:r w:rsidRPr="009E0E08">
        <w:rPr>
          <w:lang w:val="fr-FR"/>
        </w:rPr>
        <w:t>.  En ce qui concerne les reportages de presse fondés sur des entretiens, la Cour rappelle avoir déjà jugé qu</w:t>
      </w:r>
      <w:r w:rsidR="009E0E08" w:rsidRPr="009E0E08">
        <w:rPr>
          <w:lang w:val="fr-FR"/>
        </w:rPr>
        <w:t>’</w:t>
      </w:r>
      <w:r w:rsidRPr="009E0E08">
        <w:rPr>
          <w:lang w:val="fr-FR"/>
        </w:rPr>
        <w:t>il convient de distinguer les déclarations qui émanent du journaliste lui-même de celles qui sont des citations de tiers. En effet, sanctionner un journaliste pour son aide à la diffusion de déclarations émises par un tiers lors d</w:t>
      </w:r>
      <w:r w:rsidR="009E0E08" w:rsidRPr="009E0E08">
        <w:rPr>
          <w:lang w:val="fr-FR"/>
        </w:rPr>
        <w:t>’</w:t>
      </w:r>
      <w:r w:rsidRPr="009E0E08">
        <w:rPr>
          <w:lang w:val="fr-FR"/>
        </w:rPr>
        <w:t>un entretien entraverait gravement la contribution de la presse aux discussions de problèmes d</w:t>
      </w:r>
      <w:r w:rsidR="009E0E08" w:rsidRPr="009E0E08">
        <w:rPr>
          <w:lang w:val="fr-FR"/>
        </w:rPr>
        <w:t>’</w:t>
      </w:r>
      <w:r w:rsidRPr="009E0E08">
        <w:rPr>
          <w:lang w:val="fr-FR"/>
        </w:rPr>
        <w:t>intérêt général et ne saurait se concevoir sans raisons particulièrement sérieuses (</w:t>
      </w:r>
      <w:r w:rsidR="00F8223C" w:rsidRPr="009E0E08">
        <w:rPr>
          <w:i/>
          <w:iCs/>
          <w:lang w:val="fr-FR"/>
        </w:rPr>
        <w:t>Novaya </w:t>
      </w:r>
      <w:r w:rsidRPr="009E0E08">
        <w:rPr>
          <w:i/>
          <w:iCs/>
          <w:lang w:val="fr-FR"/>
        </w:rPr>
        <w:t>Gazeta et Milashina c. Russie</w:t>
      </w:r>
      <w:r w:rsidRPr="009E0E08">
        <w:rPr>
          <w:lang w:val="fr-FR"/>
        </w:rPr>
        <w:t>, n</w:t>
      </w:r>
      <w:r w:rsidRPr="009E0E08">
        <w:rPr>
          <w:vertAlign w:val="superscript"/>
          <w:lang w:val="fr-FR"/>
        </w:rPr>
        <w:t>o </w:t>
      </w:r>
      <w:r w:rsidRPr="009E0E08">
        <w:rPr>
          <w:lang w:val="fr-FR"/>
        </w:rPr>
        <w:t xml:space="preserve">45083/06, § 71, 3 octobre 2017, </w:t>
      </w:r>
      <w:r w:rsidRPr="009E0E08">
        <w:rPr>
          <w:i/>
          <w:lang w:val="fr-FR"/>
        </w:rPr>
        <w:t>Dyundin</w:t>
      </w:r>
      <w:r w:rsidRPr="009E0E08">
        <w:rPr>
          <w:lang w:val="fr-FR"/>
        </w:rPr>
        <w:t xml:space="preserve">, précité, § 29, et </w:t>
      </w:r>
      <w:r w:rsidRPr="009E0E08">
        <w:rPr>
          <w:i/>
          <w:lang w:val="fr-FR"/>
        </w:rPr>
        <w:t>Jersild c. Danemark</w:t>
      </w:r>
      <w:r w:rsidRPr="009E0E08">
        <w:rPr>
          <w:lang w:val="fr-FR"/>
        </w:rPr>
        <w:t>, 23 septembre 1994, § 35, série</w:t>
      </w:r>
      <w:r w:rsidR="002E3AEC" w:rsidRPr="009E0E08">
        <w:rPr>
          <w:lang w:val="fr-FR"/>
        </w:rPr>
        <w:t> </w:t>
      </w:r>
      <w:r w:rsidRPr="009E0E08">
        <w:rPr>
          <w:lang w:val="fr-FR"/>
        </w:rPr>
        <w:t>A</w:t>
      </w:r>
      <w:r w:rsidR="00F8223C" w:rsidRPr="009E0E08">
        <w:rPr>
          <w:lang w:val="fr-FR"/>
        </w:rPr>
        <w:t xml:space="preserve"> </w:t>
      </w:r>
      <w:r w:rsidRPr="009E0E08">
        <w:rPr>
          <w:lang w:val="fr-FR"/>
        </w:rPr>
        <w:t>n</w:t>
      </w:r>
      <w:r w:rsidRPr="009E0E08">
        <w:rPr>
          <w:vertAlign w:val="superscript"/>
          <w:lang w:val="fr-FR"/>
        </w:rPr>
        <w:t>o</w:t>
      </w:r>
      <w:r w:rsidRPr="009E0E08">
        <w:rPr>
          <w:lang w:val="fr-FR"/>
        </w:rPr>
        <w:t> 298). La Cour a également estimé que le fait d</w:t>
      </w:r>
      <w:r w:rsidR="009E0E08" w:rsidRPr="009E0E08">
        <w:rPr>
          <w:lang w:val="fr-FR"/>
        </w:rPr>
        <w:t>’</w:t>
      </w:r>
      <w:r w:rsidRPr="009E0E08">
        <w:rPr>
          <w:lang w:val="fr-FR"/>
        </w:rPr>
        <w:t>exiger de manière générale que les journalistes se distancient systématiquement et formellement du contenu d</w:t>
      </w:r>
      <w:r w:rsidR="009E0E08" w:rsidRPr="009E0E08">
        <w:rPr>
          <w:lang w:val="fr-FR"/>
        </w:rPr>
        <w:t>’</w:t>
      </w:r>
      <w:r w:rsidRPr="009E0E08">
        <w:rPr>
          <w:lang w:val="fr-FR"/>
        </w:rPr>
        <w:t>une citation qui pourrait insulter des tiers, les provoquer ou porter atteinte à leur honneur ne se concilie pas avec le rôle qu</w:t>
      </w:r>
      <w:r w:rsidR="009E0E08" w:rsidRPr="009E0E08">
        <w:rPr>
          <w:lang w:val="fr-FR"/>
        </w:rPr>
        <w:t>’</w:t>
      </w:r>
      <w:r w:rsidRPr="009E0E08">
        <w:rPr>
          <w:lang w:val="fr-FR"/>
        </w:rPr>
        <w:t>a la presse d</w:t>
      </w:r>
      <w:r w:rsidR="009E0E08" w:rsidRPr="009E0E08">
        <w:rPr>
          <w:lang w:val="fr-FR"/>
        </w:rPr>
        <w:t>’</w:t>
      </w:r>
      <w:r w:rsidRPr="009E0E08">
        <w:rPr>
          <w:lang w:val="fr-FR"/>
        </w:rPr>
        <w:t xml:space="preserve">informer sur des faits ou des opinions et des idées qui ont cours à un moment donné (voir, par exemple, </w:t>
      </w:r>
      <w:r w:rsidRPr="009E0E08">
        <w:rPr>
          <w:i/>
          <w:lang w:val="fr-FR"/>
        </w:rPr>
        <w:t>Thoma c. Luxembourg</w:t>
      </w:r>
      <w:r w:rsidRPr="009E0E08">
        <w:rPr>
          <w:lang w:val="fr-FR"/>
        </w:rPr>
        <w:t>, n</w:t>
      </w:r>
      <w:r w:rsidRPr="009E0E08">
        <w:rPr>
          <w:vertAlign w:val="superscript"/>
          <w:lang w:val="fr-FR"/>
        </w:rPr>
        <w:t>o</w:t>
      </w:r>
      <w:r w:rsidRPr="009E0E08">
        <w:rPr>
          <w:lang w:val="fr-FR"/>
        </w:rPr>
        <w:t> 38432/97, § 64, CEDH 2001</w:t>
      </w:r>
      <w:r w:rsidRPr="009E0E08">
        <w:rPr>
          <w:lang w:val="fr-FR"/>
        </w:rPr>
        <w:noBreakHyphen/>
        <w:t>III).</w:t>
      </w:r>
    </w:p>
    <w:p w:rsidR="009C7C1B" w:rsidRPr="009E0E08" w:rsidRDefault="009C7C1B" w:rsidP="009E0E08">
      <w:pPr>
        <w:pStyle w:val="ECHRPara"/>
        <w:rPr>
          <w:i/>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52</w:t>
      </w:r>
      <w:r w:rsidRPr="009E0E08">
        <w:rPr>
          <w:lang w:val="fr-FR"/>
        </w:rPr>
        <w:fldChar w:fldCharType="end"/>
      </w:r>
      <w:r w:rsidRPr="009E0E08">
        <w:rPr>
          <w:lang w:val="fr-FR"/>
        </w:rPr>
        <w:t>.  En l</w:t>
      </w:r>
      <w:r w:rsidR="009E0E08" w:rsidRPr="009E0E08">
        <w:rPr>
          <w:lang w:val="fr-FR"/>
        </w:rPr>
        <w:t>’</w:t>
      </w:r>
      <w:r w:rsidRPr="009E0E08">
        <w:rPr>
          <w:lang w:val="fr-FR"/>
        </w:rPr>
        <w:t>espèce, la Cour considère que les tribunaux internes n</w:t>
      </w:r>
      <w:r w:rsidR="009E0E08" w:rsidRPr="009E0E08">
        <w:rPr>
          <w:lang w:val="fr-FR"/>
        </w:rPr>
        <w:t>’</w:t>
      </w:r>
      <w:r w:rsidRPr="009E0E08">
        <w:rPr>
          <w:lang w:val="fr-FR"/>
        </w:rPr>
        <w:t>ont pas différencié les propos tenus par le premier requérant de ceux de D.C. (</w:t>
      </w:r>
      <w:r w:rsidRPr="009E0E08">
        <w:rPr>
          <w:i/>
          <w:lang w:val="fr-FR"/>
        </w:rPr>
        <w:t>Ólafsson c. Islande</w:t>
      </w:r>
      <w:r w:rsidRPr="009E0E08">
        <w:rPr>
          <w:lang w:val="fr-FR"/>
        </w:rPr>
        <w:t>, n</w:t>
      </w:r>
      <w:r w:rsidRPr="009E0E08">
        <w:rPr>
          <w:vertAlign w:val="superscript"/>
          <w:lang w:val="fr-FR"/>
        </w:rPr>
        <w:t>o</w:t>
      </w:r>
      <w:r w:rsidRPr="009E0E08">
        <w:rPr>
          <w:lang w:val="fr-FR"/>
        </w:rPr>
        <w:t xml:space="preserve"> 58493/13, § 59, 16 mars 2017). En particulier, les tribunaux ont retenu le caractère diffamatoire de l</w:t>
      </w:r>
      <w:r w:rsidR="009E0E08" w:rsidRPr="009E0E08">
        <w:rPr>
          <w:lang w:val="fr-FR"/>
        </w:rPr>
        <w:t>’</w:t>
      </w:r>
      <w:r w:rsidRPr="009E0E08">
        <w:rPr>
          <w:lang w:val="fr-FR"/>
        </w:rPr>
        <w:t>article et jugé le premier requérant coresponsable du délit de diffamation aux motifs qu</w:t>
      </w:r>
      <w:r w:rsidR="009E0E08" w:rsidRPr="009E0E08">
        <w:rPr>
          <w:lang w:val="fr-FR"/>
        </w:rPr>
        <w:t>’</w:t>
      </w:r>
      <w:r w:rsidRPr="009E0E08">
        <w:rPr>
          <w:lang w:val="fr-FR"/>
        </w:rPr>
        <w:t>il avait « adhéré à la thèse de l</w:t>
      </w:r>
      <w:r w:rsidR="009E0E08" w:rsidRPr="009E0E08">
        <w:rPr>
          <w:lang w:val="fr-FR"/>
        </w:rPr>
        <w:t>’</w:t>
      </w:r>
      <w:r w:rsidRPr="009E0E08">
        <w:rPr>
          <w:lang w:val="fr-FR"/>
        </w:rPr>
        <w:t xml:space="preserve">inactivité volontaire des officiers » (paragraphe </w:t>
      </w:r>
      <w:r w:rsidRPr="009E0E08">
        <w:rPr>
          <w:lang w:val="fr-FR"/>
        </w:rPr>
        <w:fldChar w:fldCharType="begin"/>
      </w:r>
      <w:r w:rsidRPr="009E0E08">
        <w:rPr>
          <w:lang w:val="fr-FR"/>
        </w:rPr>
        <w:instrText xml:space="preserve"> REF TGI_MONZA \h  \* MERGEFORMAT </w:instrText>
      </w:r>
      <w:r w:rsidRPr="009E0E08">
        <w:rPr>
          <w:lang w:val="fr-FR"/>
        </w:rPr>
      </w:r>
      <w:r w:rsidRPr="009E0E08">
        <w:rPr>
          <w:lang w:val="fr-FR"/>
        </w:rPr>
        <w:fldChar w:fldCharType="separate"/>
      </w:r>
      <w:r w:rsidR="009E0E08" w:rsidRPr="009E0E08">
        <w:rPr>
          <w:lang w:val="fr-FR"/>
        </w:rPr>
        <w:t>17</w:t>
      </w:r>
      <w:r w:rsidRPr="009E0E08">
        <w:rPr>
          <w:lang w:val="fr-FR"/>
        </w:rPr>
        <w:fldChar w:fldCharType="end"/>
      </w:r>
      <w:r w:rsidRPr="009E0E08">
        <w:rPr>
          <w:lang w:val="fr-FR"/>
        </w:rPr>
        <w:t xml:space="preserve"> ci-dessus), qu</w:t>
      </w:r>
      <w:r w:rsidR="009E0E08" w:rsidRPr="009E0E08">
        <w:rPr>
          <w:lang w:val="fr-FR"/>
        </w:rPr>
        <w:t>’</w:t>
      </w:r>
      <w:r w:rsidRPr="009E0E08">
        <w:rPr>
          <w:lang w:val="fr-FR"/>
        </w:rPr>
        <w:t xml:space="preserve">il avait montré sa volonté de nuire à des officiers du corps des </w:t>
      </w:r>
      <w:r w:rsidRPr="009E0E08">
        <w:rPr>
          <w:i/>
          <w:lang w:val="fr-FR"/>
        </w:rPr>
        <w:t>carabinieri</w:t>
      </w:r>
      <w:r w:rsidRPr="009E0E08">
        <w:rPr>
          <w:lang w:val="fr-FR"/>
        </w:rPr>
        <w:t xml:space="preserve"> et qu</w:t>
      </w:r>
      <w:r w:rsidR="009E0E08" w:rsidRPr="009E0E08">
        <w:rPr>
          <w:lang w:val="fr-FR"/>
        </w:rPr>
        <w:t>’</w:t>
      </w:r>
      <w:r w:rsidRPr="009E0E08">
        <w:rPr>
          <w:lang w:val="fr-FR"/>
        </w:rPr>
        <w:t xml:space="preserve">il avait manqué à son devoir « de contrôle de la véracité de ces graves accusations » (paragraphe </w:t>
      </w:r>
      <w:r w:rsidRPr="009E0E08">
        <w:rPr>
          <w:lang w:val="fr-FR"/>
        </w:rPr>
        <w:fldChar w:fldCharType="begin"/>
      </w:r>
      <w:r w:rsidRPr="009E0E08">
        <w:rPr>
          <w:lang w:val="fr-FR"/>
        </w:rPr>
        <w:instrText xml:space="preserve"> REF COUR_CASSATION \h </w:instrText>
      </w:r>
      <w:r w:rsidRPr="009E0E08">
        <w:rPr>
          <w:lang w:val="fr-FR"/>
        </w:rPr>
      </w:r>
      <w:r w:rsidRPr="009E0E08">
        <w:rPr>
          <w:lang w:val="fr-FR"/>
        </w:rPr>
        <w:fldChar w:fldCharType="separate"/>
      </w:r>
      <w:r w:rsidR="009E0E08" w:rsidRPr="009E0E08">
        <w:rPr>
          <w:noProof/>
          <w:lang w:val="fr-FR"/>
        </w:rPr>
        <w:t>24</w:t>
      </w:r>
      <w:r w:rsidRPr="009E0E08">
        <w:rPr>
          <w:lang w:val="fr-FR"/>
        </w:rPr>
        <w:fldChar w:fldCharType="end"/>
      </w:r>
      <w:r w:rsidRPr="009E0E08">
        <w:rPr>
          <w:lang w:val="fr-FR"/>
        </w:rPr>
        <w:t xml:space="preserve"> ci-dessus). Quant au deuxième requérant, celui-ci a été jugé responsable d</w:t>
      </w:r>
      <w:r w:rsidR="009E0E08" w:rsidRPr="009E0E08">
        <w:rPr>
          <w:lang w:val="fr-FR"/>
        </w:rPr>
        <w:t>’</w:t>
      </w:r>
      <w:r w:rsidRPr="009E0E08">
        <w:rPr>
          <w:lang w:val="fr-FR"/>
        </w:rPr>
        <w:t>omission pour ne pas avoir procédé à un contrôle préventif à la diffusion de propos potentiellement diffamatoires.</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53</w:t>
      </w:r>
      <w:r w:rsidRPr="009E0E08">
        <w:rPr>
          <w:lang w:val="fr-FR"/>
        </w:rPr>
        <w:fldChar w:fldCharType="end"/>
      </w:r>
      <w:r w:rsidRPr="009E0E08">
        <w:rPr>
          <w:lang w:val="fr-FR"/>
        </w:rPr>
        <w:t>.  En premier lieu, si la Cour admet, à l</w:t>
      </w:r>
      <w:r w:rsidR="009E0E08" w:rsidRPr="009E0E08">
        <w:rPr>
          <w:lang w:val="fr-FR"/>
        </w:rPr>
        <w:t>’</w:t>
      </w:r>
      <w:r w:rsidRPr="009E0E08">
        <w:rPr>
          <w:lang w:val="fr-FR"/>
        </w:rPr>
        <w:t>instar des tribunaux internes, que les allégations contenues dans l</w:t>
      </w:r>
      <w:r w:rsidR="009E0E08" w:rsidRPr="009E0E08">
        <w:rPr>
          <w:lang w:val="fr-FR"/>
        </w:rPr>
        <w:t>’</w:t>
      </w:r>
      <w:r w:rsidRPr="009E0E08">
        <w:rPr>
          <w:lang w:val="fr-FR"/>
        </w:rPr>
        <w:t>article étaient de nature à porter atteinte à la réputation des parties civiles, il est cependant évident que les propos litigieux n</w:t>
      </w:r>
      <w:r w:rsidR="009E0E08" w:rsidRPr="009E0E08">
        <w:rPr>
          <w:lang w:val="fr-FR"/>
        </w:rPr>
        <w:t>’</w:t>
      </w:r>
      <w:r w:rsidRPr="009E0E08">
        <w:rPr>
          <w:lang w:val="fr-FR"/>
        </w:rPr>
        <w:t xml:space="preserve">émanaient ni du premier ni du deuxième requérant, mais de D.C. (paragraphe </w:t>
      </w:r>
      <w:r w:rsidRPr="009E0E08">
        <w:rPr>
          <w:lang w:val="fr-FR"/>
        </w:rPr>
        <w:fldChar w:fldCharType="begin"/>
      </w:r>
      <w:r w:rsidRPr="009E0E08">
        <w:rPr>
          <w:lang w:val="fr-FR"/>
        </w:rPr>
        <w:instrText xml:space="preserve"> REF ARTICLE_INTERVIEWS \h </w:instrText>
      </w:r>
      <w:r w:rsidRPr="009E0E08">
        <w:rPr>
          <w:lang w:val="fr-FR"/>
        </w:rPr>
      </w:r>
      <w:r w:rsidRPr="009E0E08">
        <w:rPr>
          <w:lang w:val="fr-FR"/>
        </w:rPr>
        <w:fldChar w:fldCharType="separate"/>
      </w:r>
      <w:r w:rsidR="009E0E08" w:rsidRPr="009E0E08">
        <w:rPr>
          <w:noProof/>
          <w:lang w:val="fr-FR"/>
        </w:rPr>
        <w:t>12</w:t>
      </w:r>
      <w:r w:rsidRPr="009E0E08">
        <w:rPr>
          <w:lang w:val="fr-FR"/>
        </w:rPr>
        <w:fldChar w:fldCharType="end"/>
      </w:r>
      <w:r w:rsidRPr="009E0E08">
        <w:rPr>
          <w:lang w:val="fr-FR"/>
        </w:rPr>
        <w:t xml:space="preserve"> ci-dessus).</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54</w:t>
      </w:r>
      <w:r w:rsidRPr="009E0E08">
        <w:rPr>
          <w:lang w:val="fr-FR"/>
        </w:rPr>
        <w:fldChar w:fldCharType="end"/>
      </w:r>
      <w:r w:rsidRPr="009E0E08">
        <w:rPr>
          <w:lang w:val="fr-FR"/>
        </w:rPr>
        <w:t>.  À cet égard, la Cour observe que, pour autant que la condamnation des requérants visait à la protection de l</w:t>
      </w:r>
      <w:r w:rsidR="009E0E08" w:rsidRPr="009E0E08">
        <w:rPr>
          <w:lang w:val="fr-FR"/>
        </w:rPr>
        <w:t>’</w:t>
      </w:r>
      <w:r w:rsidRPr="009E0E08">
        <w:rPr>
          <w:lang w:val="fr-FR"/>
        </w:rPr>
        <w:t xml:space="preserve">intérêt légitime des parties civiles contre les propos diffamatoires formulés par D.C., cet intérêt se trouvait déjà largement préservé par le procès en diffamation intenté contre ce dernier, qui a par ailleurs mené à sa condamnation (paragraphe </w:t>
      </w:r>
      <w:r w:rsidRPr="009E0E08">
        <w:rPr>
          <w:lang w:val="fr-FR"/>
        </w:rPr>
        <w:fldChar w:fldCharType="begin"/>
      </w:r>
      <w:r w:rsidRPr="009E0E08">
        <w:rPr>
          <w:lang w:val="fr-FR"/>
        </w:rPr>
        <w:instrText xml:space="preserve"> REF TRIBUNAL_DC \h  \* MERGEFORMAT </w:instrText>
      </w:r>
      <w:r w:rsidRPr="009E0E08">
        <w:rPr>
          <w:lang w:val="fr-FR"/>
        </w:rPr>
      </w:r>
      <w:r w:rsidRPr="009E0E08">
        <w:rPr>
          <w:lang w:val="fr-FR"/>
        </w:rPr>
        <w:fldChar w:fldCharType="separate"/>
      </w:r>
      <w:r w:rsidR="009E0E08" w:rsidRPr="009E0E08">
        <w:rPr>
          <w:lang w:val="fr-FR"/>
        </w:rPr>
        <w:t>15</w:t>
      </w:r>
      <w:r w:rsidRPr="009E0E08">
        <w:rPr>
          <w:lang w:val="fr-FR"/>
        </w:rPr>
        <w:fldChar w:fldCharType="end"/>
      </w:r>
      <w:r w:rsidRPr="009E0E08">
        <w:rPr>
          <w:lang w:val="fr-FR"/>
        </w:rPr>
        <w:t xml:space="preserve"> ci-dessus) (</w:t>
      </w:r>
      <w:r w:rsidRPr="009E0E08">
        <w:rPr>
          <w:i/>
          <w:lang w:val="fr-FR"/>
        </w:rPr>
        <w:t>Ólafsson c. Islande</w:t>
      </w:r>
      <w:r w:rsidRPr="009E0E08">
        <w:rPr>
          <w:lang w:val="fr-FR"/>
        </w:rPr>
        <w:t>, n</w:t>
      </w:r>
      <w:r w:rsidRPr="009E0E08">
        <w:rPr>
          <w:vertAlign w:val="superscript"/>
          <w:lang w:val="fr-FR"/>
        </w:rPr>
        <w:t>o</w:t>
      </w:r>
      <w:r w:rsidRPr="009E0E08">
        <w:rPr>
          <w:lang w:val="fr-FR"/>
        </w:rPr>
        <w:t xml:space="preserve"> 58493/13, §§ 58-60, 16 mars 2017).</w:t>
      </w:r>
    </w:p>
    <w:bookmarkStart w:id="16" w:name="VERIFICATION_ENTRETIENS"/>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55</w:t>
      </w:r>
      <w:r w:rsidRPr="009E0E08">
        <w:rPr>
          <w:lang w:val="fr-FR"/>
        </w:rPr>
        <w:fldChar w:fldCharType="end"/>
      </w:r>
      <w:bookmarkEnd w:id="16"/>
      <w:r w:rsidRPr="009E0E08">
        <w:rPr>
          <w:lang w:val="fr-FR"/>
        </w:rPr>
        <w:t>.  En deuxième lieu, la Cour rappelle que, lorsque les journalistes reprennent des déclarations faites par une tierce personne, le critère à appliquer ne consiste pas à se demander si ces journalistes peuvent prouver la véracité des déclarations, mais s</w:t>
      </w:r>
      <w:r w:rsidR="009E0E08" w:rsidRPr="009E0E08">
        <w:rPr>
          <w:lang w:val="fr-FR"/>
        </w:rPr>
        <w:t>’</w:t>
      </w:r>
      <w:r w:rsidRPr="009E0E08">
        <w:rPr>
          <w:lang w:val="fr-FR"/>
        </w:rPr>
        <w:t>ils ont agi de bonne foi et se sont conformés à l</w:t>
      </w:r>
      <w:r w:rsidR="009E0E08" w:rsidRPr="009E0E08">
        <w:rPr>
          <w:lang w:val="fr-FR"/>
        </w:rPr>
        <w:t>’</w:t>
      </w:r>
      <w:r w:rsidRPr="009E0E08">
        <w:rPr>
          <w:lang w:val="fr-FR"/>
        </w:rPr>
        <w:t>obligation leur incombant d</w:t>
      </w:r>
      <w:r w:rsidR="009E0E08" w:rsidRPr="009E0E08">
        <w:rPr>
          <w:lang w:val="fr-FR"/>
        </w:rPr>
        <w:t>’</w:t>
      </w:r>
      <w:r w:rsidRPr="009E0E08">
        <w:rPr>
          <w:lang w:val="fr-FR"/>
        </w:rPr>
        <w:t>habitude de vérifier une déclaration factuelle en s</w:t>
      </w:r>
      <w:r w:rsidR="009E0E08" w:rsidRPr="009E0E08">
        <w:rPr>
          <w:lang w:val="fr-FR"/>
        </w:rPr>
        <w:t>’</w:t>
      </w:r>
      <w:r w:rsidRPr="009E0E08">
        <w:rPr>
          <w:lang w:val="fr-FR"/>
        </w:rPr>
        <w:t>appuyant sur une base réelle suffisamment précise et fiable qui pût être tenue pour proportionnée à la nature et à la force de leur allégation (</w:t>
      </w:r>
      <w:r w:rsidRPr="009E0E08">
        <w:rPr>
          <w:i/>
          <w:lang w:val="fr-FR"/>
        </w:rPr>
        <w:t>Dyundin</w:t>
      </w:r>
      <w:r w:rsidRPr="009E0E08">
        <w:rPr>
          <w:lang w:val="fr-FR"/>
        </w:rPr>
        <w:t>, précité, § 35),</w:t>
      </w:r>
      <w:r w:rsidRPr="009E0E08">
        <w:rPr>
          <w:rFonts w:ascii="Arial" w:hAnsi="Arial" w:cs="Arial"/>
          <w:lang w:val="fr-FR"/>
        </w:rPr>
        <w:t xml:space="preserve"> </w:t>
      </w:r>
      <w:r w:rsidRPr="009E0E08">
        <w:rPr>
          <w:lang w:val="fr-FR"/>
        </w:rPr>
        <w:t>sachant que plus l</w:t>
      </w:r>
      <w:r w:rsidR="009E0E08" w:rsidRPr="009E0E08">
        <w:rPr>
          <w:lang w:val="fr-FR"/>
        </w:rPr>
        <w:t>’</w:t>
      </w:r>
      <w:r w:rsidRPr="009E0E08">
        <w:rPr>
          <w:lang w:val="fr-FR"/>
        </w:rPr>
        <w:t>allégation est sérieuse, plus la base factuelle doit être solide (</w:t>
      </w:r>
      <w:r w:rsidRPr="009E0E08">
        <w:rPr>
          <w:i/>
          <w:lang w:val="fr-FR"/>
        </w:rPr>
        <w:t xml:space="preserve">Pedersen et Baadsgaard </w:t>
      </w:r>
      <w:r w:rsidRPr="009E0E08">
        <w:rPr>
          <w:lang w:val="fr-FR"/>
        </w:rPr>
        <w:t>précité,</w:t>
      </w:r>
      <w:r w:rsidRPr="009E0E08">
        <w:rPr>
          <w:i/>
          <w:lang w:val="fr-FR"/>
        </w:rPr>
        <w:t xml:space="preserve"> </w:t>
      </w:r>
      <w:r w:rsidRPr="009E0E08">
        <w:rPr>
          <w:lang w:val="fr-FR"/>
        </w:rPr>
        <w:t>§ 78).</w:t>
      </w:r>
    </w:p>
    <w:p w:rsidR="009C7C1B" w:rsidRPr="009E0E08" w:rsidRDefault="009C7C1B" w:rsidP="009E0E08">
      <w:pPr>
        <w:pStyle w:val="ECHRPara"/>
        <w:rPr>
          <w:i/>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56</w:t>
      </w:r>
      <w:r w:rsidRPr="009E0E08">
        <w:rPr>
          <w:lang w:val="fr-FR"/>
        </w:rPr>
        <w:fldChar w:fldCharType="end"/>
      </w:r>
      <w:r w:rsidRPr="009E0E08">
        <w:rPr>
          <w:lang w:val="fr-FR"/>
        </w:rPr>
        <w:t>.  La Cour observe que les requérants ont fourni un nombre consistant de documents et d</w:t>
      </w:r>
      <w:r w:rsidR="009E0E08" w:rsidRPr="009E0E08">
        <w:rPr>
          <w:lang w:val="fr-FR"/>
        </w:rPr>
        <w:t>’</w:t>
      </w:r>
      <w:r w:rsidRPr="009E0E08">
        <w:rPr>
          <w:lang w:val="fr-FR"/>
        </w:rPr>
        <w:t>éléments de fait prouvant les vérifications effectuées et permettant de considérer la version des faits relatée dans l</w:t>
      </w:r>
      <w:r w:rsidR="009E0E08" w:rsidRPr="009E0E08">
        <w:rPr>
          <w:lang w:val="fr-FR"/>
        </w:rPr>
        <w:t>’</w:t>
      </w:r>
      <w:r w:rsidRPr="009E0E08">
        <w:rPr>
          <w:lang w:val="fr-FR"/>
        </w:rPr>
        <w:t xml:space="preserve">article comme étant crédible et la base factuelle comme étant solide (paragraphes </w:t>
      </w:r>
      <w:r w:rsidRPr="009E0E08">
        <w:rPr>
          <w:lang w:val="fr-FR"/>
        </w:rPr>
        <w:fldChar w:fldCharType="begin"/>
      </w:r>
      <w:r w:rsidRPr="009E0E08">
        <w:rPr>
          <w:lang w:val="fr-FR"/>
        </w:rPr>
        <w:instrText xml:space="preserve"> REF APPEL_VERIFICATION \h  \* MERGEFORMAT </w:instrText>
      </w:r>
      <w:r w:rsidRPr="009E0E08">
        <w:rPr>
          <w:lang w:val="fr-FR"/>
        </w:rPr>
      </w:r>
      <w:r w:rsidRPr="009E0E08">
        <w:rPr>
          <w:lang w:val="fr-FR"/>
        </w:rPr>
        <w:fldChar w:fldCharType="separate"/>
      </w:r>
      <w:r w:rsidR="009E0E08" w:rsidRPr="009E0E08">
        <w:rPr>
          <w:lang w:val="fr-FR"/>
        </w:rPr>
        <w:t>19</w:t>
      </w:r>
      <w:r w:rsidRPr="009E0E08">
        <w:rPr>
          <w:lang w:val="fr-FR"/>
        </w:rPr>
        <w:fldChar w:fldCharType="end"/>
      </w:r>
      <w:r w:rsidRPr="009E0E08">
        <w:rPr>
          <w:lang w:val="fr-FR"/>
        </w:rPr>
        <w:t xml:space="preserve"> et </w:t>
      </w:r>
      <w:r w:rsidRPr="009E0E08">
        <w:rPr>
          <w:lang w:val="fr-FR"/>
        </w:rPr>
        <w:fldChar w:fldCharType="begin"/>
      </w:r>
      <w:r w:rsidRPr="009E0E08">
        <w:rPr>
          <w:lang w:val="fr-FR"/>
        </w:rPr>
        <w:instrText xml:space="preserve"> REF CASSATION_POURVOI \h  \* MERGEFORMAT </w:instrText>
      </w:r>
      <w:r w:rsidRPr="009E0E08">
        <w:rPr>
          <w:lang w:val="fr-FR"/>
        </w:rPr>
      </w:r>
      <w:r w:rsidRPr="009E0E08">
        <w:rPr>
          <w:lang w:val="fr-FR"/>
        </w:rPr>
        <w:fldChar w:fldCharType="separate"/>
      </w:r>
      <w:r w:rsidR="009E0E08" w:rsidRPr="009E0E08">
        <w:rPr>
          <w:lang w:val="fr-FR"/>
        </w:rPr>
        <w:t>23</w:t>
      </w:r>
      <w:r w:rsidRPr="009E0E08">
        <w:rPr>
          <w:lang w:val="fr-FR"/>
        </w:rPr>
        <w:fldChar w:fldCharType="end"/>
      </w:r>
      <w:r w:rsidRPr="009E0E08">
        <w:rPr>
          <w:lang w:val="fr-FR"/>
        </w:rPr>
        <w:t xml:space="preserve"> ci-dessus). Elle relève que ces vérifications ont trouvé ultérieurement, au cours du procès, un appui dans les déclarations faites sous serment par D.C. quant à l</w:t>
      </w:r>
      <w:r w:rsidR="009E0E08" w:rsidRPr="009E0E08">
        <w:rPr>
          <w:lang w:val="fr-FR"/>
        </w:rPr>
        <w:t>’</w:t>
      </w:r>
      <w:r w:rsidRPr="009E0E08">
        <w:rPr>
          <w:lang w:val="fr-FR"/>
        </w:rPr>
        <w:t>existence d</w:t>
      </w:r>
      <w:r w:rsidR="009E0E08" w:rsidRPr="009E0E08">
        <w:rPr>
          <w:lang w:val="fr-FR"/>
        </w:rPr>
        <w:t>’</w:t>
      </w:r>
      <w:r w:rsidRPr="009E0E08">
        <w:rPr>
          <w:lang w:val="fr-FR"/>
        </w:rPr>
        <w:t xml:space="preserve">autres notes transmises par celui-ci à ses supérieurs et mentionnant les noms des terroristes (paragraphe  </w:t>
      </w:r>
      <w:r w:rsidRPr="009E0E08">
        <w:rPr>
          <w:lang w:val="fr-FR"/>
        </w:rPr>
        <w:fldChar w:fldCharType="begin"/>
      </w:r>
      <w:r w:rsidRPr="009E0E08">
        <w:rPr>
          <w:lang w:val="fr-FR"/>
        </w:rPr>
        <w:instrText xml:space="preserve"> REF APPEL_VERIFICATION \h </w:instrText>
      </w:r>
      <w:r w:rsidRPr="009E0E08">
        <w:rPr>
          <w:lang w:val="fr-FR"/>
        </w:rPr>
      </w:r>
      <w:r w:rsidRPr="009E0E08">
        <w:rPr>
          <w:lang w:val="fr-FR"/>
        </w:rPr>
        <w:fldChar w:fldCharType="separate"/>
      </w:r>
      <w:r w:rsidR="009E0E08" w:rsidRPr="009E0E08">
        <w:rPr>
          <w:noProof/>
          <w:lang w:val="fr-FR"/>
        </w:rPr>
        <w:t>19</w:t>
      </w:r>
      <w:r w:rsidRPr="009E0E08">
        <w:rPr>
          <w:lang w:val="fr-FR"/>
        </w:rPr>
        <w:fldChar w:fldCharType="end"/>
      </w:r>
      <w:r w:rsidRPr="009E0E08">
        <w:rPr>
          <w:lang w:val="fr-FR"/>
        </w:rPr>
        <w:t xml:space="preserve"> ci-dessus), ainsi que dans le document transmis au général N.B. et produit par ce dernier (paragraphe </w:t>
      </w:r>
      <w:r w:rsidRPr="009E0E08">
        <w:rPr>
          <w:lang w:val="fr-FR"/>
        </w:rPr>
        <w:fldChar w:fldCharType="begin"/>
      </w:r>
      <w:r w:rsidRPr="009E0E08">
        <w:rPr>
          <w:lang w:val="fr-FR"/>
        </w:rPr>
        <w:instrText xml:space="preserve"> REF CASSATION_POURVOI \h </w:instrText>
      </w:r>
      <w:r w:rsidRPr="009E0E08">
        <w:rPr>
          <w:lang w:val="fr-FR"/>
        </w:rPr>
      </w:r>
      <w:r w:rsidRPr="009E0E08">
        <w:rPr>
          <w:lang w:val="fr-FR"/>
        </w:rPr>
        <w:fldChar w:fldCharType="separate"/>
      </w:r>
      <w:r w:rsidR="009E0E08" w:rsidRPr="009E0E08">
        <w:rPr>
          <w:noProof/>
          <w:lang w:val="fr-FR"/>
        </w:rPr>
        <w:t>23</w:t>
      </w:r>
      <w:r w:rsidRPr="009E0E08">
        <w:rPr>
          <w:lang w:val="fr-FR"/>
        </w:rPr>
        <w:fldChar w:fldCharType="end"/>
      </w:r>
      <w:r w:rsidRPr="009E0E08">
        <w:rPr>
          <w:lang w:val="fr-FR"/>
        </w:rPr>
        <w:t xml:space="preserve"> ci-dessus). La Cour rappelle avoir déjà jugé que le degré de précision requis pour établir le bien-fondé d</w:t>
      </w:r>
      <w:r w:rsidR="009E0E08" w:rsidRPr="009E0E08">
        <w:rPr>
          <w:lang w:val="fr-FR"/>
        </w:rPr>
        <w:t>’</w:t>
      </w:r>
      <w:r w:rsidRPr="009E0E08">
        <w:rPr>
          <w:lang w:val="fr-FR"/>
        </w:rPr>
        <w:t>une accusation en matière pénale par un tribunal est difficilement comparable à celui qu</w:t>
      </w:r>
      <w:r w:rsidR="009E0E08" w:rsidRPr="009E0E08">
        <w:rPr>
          <w:lang w:val="fr-FR"/>
        </w:rPr>
        <w:t>’</w:t>
      </w:r>
      <w:r w:rsidRPr="009E0E08">
        <w:rPr>
          <w:lang w:val="fr-FR"/>
        </w:rPr>
        <w:t>un journaliste devrait observer lorsqu</w:t>
      </w:r>
      <w:r w:rsidR="009E0E08" w:rsidRPr="009E0E08">
        <w:rPr>
          <w:lang w:val="fr-FR"/>
        </w:rPr>
        <w:t>’</w:t>
      </w:r>
      <w:r w:rsidRPr="009E0E08">
        <w:rPr>
          <w:lang w:val="fr-FR"/>
        </w:rPr>
        <w:t>il s</w:t>
      </w:r>
      <w:r w:rsidR="009E0E08" w:rsidRPr="009E0E08">
        <w:rPr>
          <w:lang w:val="fr-FR"/>
        </w:rPr>
        <w:t>’</w:t>
      </w:r>
      <w:r w:rsidRPr="009E0E08">
        <w:rPr>
          <w:lang w:val="fr-FR"/>
        </w:rPr>
        <w:t>exprime sur un sujet d</w:t>
      </w:r>
      <w:r w:rsidR="009E0E08" w:rsidRPr="009E0E08">
        <w:rPr>
          <w:lang w:val="fr-FR"/>
        </w:rPr>
        <w:t>’</w:t>
      </w:r>
      <w:r w:rsidRPr="009E0E08">
        <w:rPr>
          <w:lang w:val="fr-FR"/>
        </w:rPr>
        <w:t>intérêt public (</w:t>
      </w:r>
      <w:r w:rsidRPr="009E0E08">
        <w:rPr>
          <w:i/>
          <w:lang w:val="fr-FR"/>
        </w:rPr>
        <w:t>Cojocaru c. Roumanie</w:t>
      </w:r>
      <w:r w:rsidRPr="009E0E08">
        <w:rPr>
          <w:lang w:val="fr-FR"/>
        </w:rPr>
        <w:t>, n</w:t>
      </w:r>
      <w:r w:rsidRPr="009E0E08">
        <w:rPr>
          <w:vertAlign w:val="superscript"/>
          <w:lang w:val="fr-FR"/>
        </w:rPr>
        <w:t>o</w:t>
      </w:r>
      <w:r w:rsidRPr="009E0E08">
        <w:rPr>
          <w:lang w:val="fr-FR"/>
        </w:rPr>
        <w:t xml:space="preserve"> 32104/06</w:t>
      </w:r>
      <w:r w:rsidRPr="009E0E08">
        <w:rPr>
          <w:snapToGrid w:val="0"/>
          <w:lang w:val="fr-FR"/>
        </w:rPr>
        <w:t xml:space="preserve">, § 29, 10 </w:t>
      </w:r>
      <w:r w:rsidRPr="009E0E08">
        <w:rPr>
          <w:lang w:val="fr-FR"/>
        </w:rPr>
        <w:t>février</w:t>
      </w:r>
      <w:r w:rsidRPr="009E0E08">
        <w:rPr>
          <w:snapToGrid w:val="0"/>
          <w:lang w:val="fr-FR"/>
        </w:rPr>
        <w:t xml:space="preserve"> 2015).</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57</w:t>
      </w:r>
      <w:r w:rsidRPr="009E0E08">
        <w:rPr>
          <w:lang w:val="fr-FR"/>
        </w:rPr>
        <w:fldChar w:fldCharType="end"/>
      </w:r>
      <w:r w:rsidRPr="009E0E08">
        <w:rPr>
          <w:lang w:val="fr-FR"/>
        </w:rPr>
        <w:t>.  La Cour rappelle également qu</w:t>
      </w:r>
      <w:r w:rsidR="009E0E08" w:rsidRPr="009E0E08">
        <w:rPr>
          <w:lang w:val="fr-FR"/>
        </w:rPr>
        <w:t>’</w:t>
      </w:r>
      <w:r w:rsidRPr="009E0E08">
        <w:rPr>
          <w:lang w:val="fr-FR"/>
        </w:rPr>
        <w:t>avec l</w:t>
      </w:r>
      <w:r w:rsidR="009E0E08" w:rsidRPr="009E0E08">
        <w:rPr>
          <w:lang w:val="fr-FR"/>
        </w:rPr>
        <w:t>’</w:t>
      </w:r>
      <w:r w:rsidRPr="009E0E08">
        <w:rPr>
          <w:lang w:val="fr-FR"/>
        </w:rPr>
        <w:t>écoulement du temps non seulement il devient plus difficile pour les médias de prouver les faits sur lesquels ils se sont fondés, mais aussi le préjudice pour la personne prétendument diffamée par les éléments pertinents est amené à disparaître (</w:t>
      </w:r>
      <w:r w:rsidRPr="009E0E08">
        <w:rPr>
          <w:i/>
          <w:lang w:val="fr-FR"/>
        </w:rPr>
        <w:t>Flux c. Moldova (n</w:t>
      </w:r>
      <w:r w:rsidRPr="009E0E08">
        <w:rPr>
          <w:i/>
          <w:vertAlign w:val="superscript"/>
          <w:lang w:val="fr-FR"/>
        </w:rPr>
        <w:t xml:space="preserve">o </w:t>
      </w:r>
      <w:r w:rsidRPr="009E0E08">
        <w:rPr>
          <w:i/>
          <w:lang w:val="fr-FR"/>
        </w:rPr>
        <w:t>1)</w:t>
      </w:r>
      <w:r w:rsidRPr="009E0E08">
        <w:rPr>
          <w:lang w:val="fr-FR"/>
        </w:rPr>
        <w:t>, n</w:t>
      </w:r>
      <w:r w:rsidRPr="009E0E08">
        <w:rPr>
          <w:vertAlign w:val="superscript"/>
          <w:lang w:val="fr-FR"/>
        </w:rPr>
        <w:t>o</w:t>
      </w:r>
      <w:r w:rsidRPr="009E0E08">
        <w:rPr>
          <w:lang w:val="fr-FR"/>
        </w:rPr>
        <w:t> 28702/03, § 31, 20 novembre 2007). En l</w:t>
      </w:r>
      <w:r w:rsidR="009E0E08" w:rsidRPr="009E0E08">
        <w:rPr>
          <w:lang w:val="fr-FR"/>
        </w:rPr>
        <w:t>’</w:t>
      </w:r>
      <w:r w:rsidRPr="009E0E08">
        <w:rPr>
          <w:lang w:val="fr-FR"/>
        </w:rPr>
        <w:t>espèce, elle constate que les déclarations de D.C. portaient sur des faits datant de la fin de l</w:t>
      </w:r>
      <w:r w:rsidR="009E0E08" w:rsidRPr="009E0E08">
        <w:rPr>
          <w:lang w:val="fr-FR"/>
        </w:rPr>
        <w:t>’</w:t>
      </w:r>
      <w:r w:rsidRPr="009E0E08">
        <w:rPr>
          <w:lang w:val="fr-FR"/>
        </w:rPr>
        <w:t>année 1979 et que l</w:t>
      </w:r>
      <w:r w:rsidR="009E0E08" w:rsidRPr="009E0E08">
        <w:rPr>
          <w:lang w:val="fr-FR"/>
        </w:rPr>
        <w:t>’</w:t>
      </w:r>
      <w:r w:rsidRPr="009E0E08">
        <w:rPr>
          <w:lang w:val="fr-FR"/>
        </w:rPr>
        <w:t>article a été publié vingt-cinq ans après, en 2004.</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58</w:t>
      </w:r>
      <w:r w:rsidRPr="009E0E08">
        <w:rPr>
          <w:lang w:val="fr-FR"/>
        </w:rPr>
        <w:fldChar w:fldCharType="end"/>
      </w:r>
      <w:r w:rsidRPr="009E0E08">
        <w:rPr>
          <w:lang w:val="fr-FR"/>
        </w:rPr>
        <w:t>.  En conclusion, la Cour estime que les tribunaux internes, en considérant que les propos de D.C. étaient mensongers et en contradiction avec la « vérité judiciairement établie de manière définitive » sur l</w:t>
      </w:r>
      <w:r w:rsidR="009E0E08" w:rsidRPr="009E0E08">
        <w:rPr>
          <w:lang w:val="fr-FR"/>
        </w:rPr>
        <w:t>’</w:t>
      </w:r>
      <w:r w:rsidRPr="009E0E08">
        <w:rPr>
          <w:lang w:val="fr-FR"/>
        </w:rPr>
        <w:t xml:space="preserve">assassinat de Walter Tobagi (paragraphe </w:t>
      </w:r>
      <w:r w:rsidRPr="009E0E08">
        <w:rPr>
          <w:lang w:val="fr-FR"/>
        </w:rPr>
        <w:fldChar w:fldCharType="begin"/>
      </w:r>
      <w:r w:rsidRPr="009E0E08">
        <w:rPr>
          <w:lang w:val="fr-FR"/>
        </w:rPr>
        <w:instrText xml:space="preserve"> REF COUR_APPEL_MILAN \h </w:instrText>
      </w:r>
      <w:r w:rsidRPr="009E0E08">
        <w:rPr>
          <w:lang w:val="fr-FR"/>
        </w:rPr>
      </w:r>
      <w:r w:rsidRPr="009E0E08">
        <w:rPr>
          <w:lang w:val="fr-FR"/>
        </w:rPr>
        <w:fldChar w:fldCharType="separate"/>
      </w:r>
      <w:r w:rsidR="009E0E08" w:rsidRPr="009E0E08">
        <w:rPr>
          <w:noProof/>
          <w:lang w:val="fr-FR"/>
        </w:rPr>
        <w:t>21</w:t>
      </w:r>
      <w:r w:rsidRPr="009E0E08">
        <w:rPr>
          <w:lang w:val="fr-FR"/>
        </w:rPr>
        <w:fldChar w:fldCharType="end"/>
      </w:r>
      <w:r w:rsidRPr="009E0E08">
        <w:rPr>
          <w:lang w:val="fr-FR"/>
        </w:rPr>
        <w:t xml:space="preserve"> ci-dessus), n</w:t>
      </w:r>
      <w:r w:rsidR="009E0E08" w:rsidRPr="009E0E08">
        <w:rPr>
          <w:lang w:val="fr-FR"/>
        </w:rPr>
        <w:t>’</w:t>
      </w:r>
      <w:r w:rsidRPr="009E0E08">
        <w:rPr>
          <w:lang w:val="fr-FR"/>
        </w:rPr>
        <w:t>ont pas donné des motifs pertinents et suffisants pour écarter les informations fournies et les vérifications effectuées par les requérants, résultat d</w:t>
      </w:r>
      <w:r w:rsidR="009E0E08" w:rsidRPr="009E0E08">
        <w:rPr>
          <w:lang w:val="fr-FR"/>
        </w:rPr>
        <w:t>’</w:t>
      </w:r>
      <w:r w:rsidRPr="009E0E08">
        <w:rPr>
          <w:lang w:val="fr-FR"/>
        </w:rPr>
        <w:t>un travail d</w:t>
      </w:r>
      <w:r w:rsidR="009E0E08" w:rsidRPr="009E0E08">
        <w:rPr>
          <w:lang w:val="fr-FR"/>
        </w:rPr>
        <w:t>’</w:t>
      </w:r>
      <w:r w:rsidRPr="009E0E08">
        <w:rPr>
          <w:lang w:val="fr-FR"/>
        </w:rPr>
        <w:t>investigation sérieux et étoffé (</w:t>
      </w:r>
      <w:r w:rsidRPr="009E0E08">
        <w:rPr>
          <w:i/>
          <w:lang w:val="fr-FR"/>
        </w:rPr>
        <w:t>Dyundin</w:t>
      </w:r>
      <w:r w:rsidRPr="009E0E08">
        <w:rPr>
          <w:lang w:val="fr-FR"/>
        </w:rPr>
        <w:t>, précité, §§ 35 et 36).</w:t>
      </w:r>
    </w:p>
    <w:p w:rsidR="009C7C1B" w:rsidRPr="009E0E08" w:rsidRDefault="009C7C1B" w:rsidP="009E0E08">
      <w:pPr>
        <w:pStyle w:val="ECHRPara"/>
        <w:rPr>
          <w:lang w:val="fr-FR"/>
        </w:rPr>
      </w:pPr>
      <w:r w:rsidRPr="009E0E08">
        <w:rPr>
          <w:lang w:val="en-US"/>
        </w:rPr>
        <w:fldChar w:fldCharType="begin"/>
      </w:r>
      <w:r w:rsidRPr="009E0E08">
        <w:rPr>
          <w:lang w:val="fr-FR"/>
        </w:rPr>
        <w:instrText xml:space="preserve"> SEQ level0 \*arabic </w:instrText>
      </w:r>
      <w:r w:rsidRPr="009E0E08">
        <w:rPr>
          <w:lang w:val="en-US"/>
        </w:rPr>
        <w:fldChar w:fldCharType="separate"/>
      </w:r>
      <w:r w:rsidR="009E0E08" w:rsidRPr="009E0E08">
        <w:rPr>
          <w:noProof/>
          <w:lang w:val="fr-FR"/>
        </w:rPr>
        <w:t>59</w:t>
      </w:r>
      <w:r w:rsidRPr="009E0E08">
        <w:rPr>
          <w:lang w:val="en-US"/>
        </w:rPr>
        <w:fldChar w:fldCharType="end"/>
      </w:r>
      <w:r w:rsidRPr="009E0E08">
        <w:rPr>
          <w:lang w:val="fr-FR"/>
        </w:rPr>
        <w:t>.  Enfin, la Cour rappelle que la nature et la lourdeur des sanctions infligées sont des éléments à prendre en compte. À ce sujet, le gouvernement défendeur soutient que les sanctions prises par les juridictions internes contre les requérants étaient clémentes. La Cour observe cependant que les intéressés ont été déclarés coupables de diffamation et condamnés chacun au paiement d</w:t>
      </w:r>
      <w:r w:rsidR="009E0E08" w:rsidRPr="009E0E08">
        <w:rPr>
          <w:lang w:val="fr-FR"/>
        </w:rPr>
        <w:t>’</w:t>
      </w:r>
      <w:r w:rsidRPr="009E0E08">
        <w:rPr>
          <w:lang w:val="fr-FR"/>
        </w:rPr>
        <w:t>une amende pénale, ce qui confère à la mesure un degré élevé de gravité. Si le montant des amendes peut ne pas apparaître en soi comme excessif, une sanction pénale n</w:t>
      </w:r>
      <w:r w:rsidR="009E0E08" w:rsidRPr="009E0E08">
        <w:rPr>
          <w:lang w:val="fr-FR"/>
        </w:rPr>
        <w:t>’</w:t>
      </w:r>
      <w:r w:rsidRPr="009E0E08">
        <w:rPr>
          <w:lang w:val="fr-FR"/>
        </w:rPr>
        <w:t>en reste pas moins une peine et, comme telle, risque d</w:t>
      </w:r>
      <w:r w:rsidR="009E0E08" w:rsidRPr="009E0E08">
        <w:rPr>
          <w:lang w:val="fr-FR"/>
        </w:rPr>
        <w:t>’</w:t>
      </w:r>
      <w:r w:rsidRPr="009E0E08">
        <w:rPr>
          <w:lang w:val="fr-FR"/>
        </w:rPr>
        <w:t>avoir un effet particulièrement dissuasif sur l</w:t>
      </w:r>
      <w:r w:rsidR="009E0E08" w:rsidRPr="009E0E08">
        <w:rPr>
          <w:lang w:val="fr-FR"/>
        </w:rPr>
        <w:t>’</w:t>
      </w:r>
      <w:r w:rsidRPr="009E0E08">
        <w:rPr>
          <w:lang w:val="fr-FR"/>
        </w:rPr>
        <w:t>exercice de la liberté d</w:t>
      </w:r>
      <w:r w:rsidR="009E0E08" w:rsidRPr="009E0E08">
        <w:rPr>
          <w:lang w:val="fr-FR"/>
        </w:rPr>
        <w:t>’</w:t>
      </w:r>
      <w:r w:rsidRPr="009E0E08">
        <w:rPr>
          <w:lang w:val="fr-FR"/>
        </w:rPr>
        <w:t>expression (voir,</w:t>
      </w:r>
      <w:r w:rsidR="00F17ABF" w:rsidRPr="009E0E08">
        <w:rPr>
          <w:lang w:val="fr-FR"/>
        </w:rPr>
        <w:t xml:space="preserve"> </w:t>
      </w:r>
      <w:r w:rsidRPr="009E0E08">
        <w:rPr>
          <w:lang w:val="fr-FR"/>
        </w:rPr>
        <w:t xml:space="preserve">avec la jurisprudence citée, </w:t>
      </w:r>
      <w:r w:rsidRPr="009E0E08">
        <w:rPr>
          <w:i/>
          <w:lang w:val="fr-FR"/>
        </w:rPr>
        <w:t>Nadtoka c. Russie</w:t>
      </w:r>
      <w:r w:rsidRPr="009E0E08">
        <w:rPr>
          <w:lang w:val="fr-FR"/>
        </w:rPr>
        <w:t>, n</w:t>
      </w:r>
      <w:r w:rsidRPr="009E0E08">
        <w:rPr>
          <w:vertAlign w:val="superscript"/>
          <w:lang w:val="fr-FR"/>
        </w:rPr>
        <w:t>o</w:t>
      </w:r>
      <w:r w:rsidRPr="009E0E08">
        <w:rPr>
          <w:lang w:val="fr-FR"/>
        </w:rPr>
        <w:t> 38010/05</w:t>
      </w:r>
      <w:r w:rsidRPr="009E0E08">
        <w:rPr>
          <w:snapToGrid w:val="0"/>
          <w:lang w:val="fr-FR"/>
        </w:rPr>
        <w:t>, § 48, 31</w:t>
      </w:r>
      <w:r w:rsidR="002E3AEC" w:rsidRPr="009E0E08">
        <w:rPr>
          <w:snapToGrid w:val="0"/>
          <w:lang w:val="fr-FR"/>
        </w:rPr>
        <w:t> </w:t>
      </w:r>
      <w:r w:rsidRPr="009E0E08">
        <w:rPr>
          <w:lang w:val="fr-FR"/>
        </w:rPr>
        <w:t>mai</w:t>
      </w:r>
      <w:r w:rsidRPr="009E0E08">
        <w:rPr>
          <w:snapToGrid w:val="0"/>
          <w:lang w:val="fr-FR"/>
        </w:rPr>
        <w:t xml:space="preserve"> 2016</w:t>
      </w:r>
      <w:r w:rsidRPr="009E0E08">
        <w:rPr>
          <w:lang w:val="fr-FR"/>
        </w:rPr>
        <w:t>).</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60</w:t>
      </w:r>
      <w:r w:rsidRPr="009E0E08">
        <w:rPr>
          <w:lang w:val="fr-FR"/>
        </w:rPr>
        <w:fldChar w:fldCharType="end"/>
      </w:r>
      <w:r w:rsidRPr="009E0E08">
        <w:rPr>
          <w:lang w:val="fr-FR"/>
        </w:rPr>
        <w:t>.  À cela il convient d</w:t>
      </w:r>
      <w:r w:rsidR="009E0E08" w:rsidRPr="009E0E08">
        <w:rPr>
          <w:lang w:val="fr-FR"/>
        </w:rPr>
        <w:t>’</w:t>
      </w:r>
      <w:r w:rsidRPr="009E0E08">
        <w:rPr>
          <w:lang w:val="fr-FR"/>
        </w:rPr>
        <w:t>ajouter le fait que les juridictions compétentes ont condamné les deux requérants, et D.C., à verser aux parties civiles la somme provisionnelle de 120 000 EUR à titre de dommages-intérêts, outre les frais et dépens à 33 500 EUR pour trois degrés de juridiction, et renvoyé l</w:t>
      </w:r>
      <w:r w:rsidR="009E0E08" w:rsidRPr="009E0E08">
        <w:rPr>
          <w:lang w:val="fr-FR"/>
        </w:rPr>
        <w:t>’</w:t>
      </w:r>
      <w:r w:rsidRPr="009E0E08">
        <w:rPr>
          <w:lang w:val="fr-FR"/>
        </w:rPr>
        <w:t xml:space="preserve">affaire devant le juge civil aux fins de la détermination exacte du préjudice moral subi par les parties civiles (paragraphe </w:t>
      </w:r>
      <w:r w:rsidRPr="009E0E08">
        <w:rPr>
          <w:lang w:val="fr-FR"/>
        </w:rPr>
        <w:fldChar w:fldCharType="begin"/>
      </w:r>
      <w:r w:rsidRPr="009E0E08">
        <w:rPr>
          <w:lang w:val="fr-FR"/>
        </w:rPr>
        <w:instrText xml:space="preserve"> REF CONDAMNATION \h  \* MERGEFORMAT </w:instrText>
      </w:r>
      <w:r w:rsidRPr="009E0E08">
        <w:rPr>
          <w:lang w:val="fr-FR"/>
        </w:rPr>
      </w:r>
      <w:r w:rsidRPr="009E0E08">
        <w:rPr>
          <w:lang w:val="fr-FR"/>
        </w:rPr>
        <w:fldChar w:fldCharType="separate"/>
      </w:r>
      <w:r w:rsidR="009E0E08" w:rsidRPr="009E0E08">
        <w:rPr>
          <w:lang w:val="fr-FR"/>
        </w:rPr>
        <w:t>22</w:t>
      </w:r>
      <w:r w:rsidRPr="009E0E08">
        <w:rPr>
          <w:lang w:val="fr-FR"/>
        </w:rPr>
        <w:fldChar w:fldCharType="end"/>
      </w:r>
      <w:r w:rsidRPr="009E0E08">
        <w:rPr>
          <w:lang w:val="fr-FR"/>
        </w:rPr>
        <w:t xml:space="preserve"> ci-dessus)..</w:t>
      </w:r>
    </w:p>
    <w:p w:rsidR="009C7C1B" w:rsidRPr="009E0E08" w:rsidRDefault="009C7C1B" w:rsidP="009E0E08">
      <w:pPr>
        <w:pStyle w:val="ECHRPara"/>
        <w:rPr>
          <w:i/>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61</w:t>
      </w:r>
      <w:r w:rsidRPr="009E0E08">
        <w:rPr>
          <w:lang w:val="fr-FR"/>
        </w:rPr>
        <w:fldChar w:fldCharType="end"/>
      </w:r>
      <w:r w:rsidRPr="009E0E08">
        <w:rPr>
          <w:lang w:val="fr-FR"/>
        </w:rPr>
        <w:t>.  Par ailleurs, contrairement à ce qu</w:t>
      </w:r>
      <w:r w:rsidR="009E0E08" w:rsidRPr="009E0E08">
        <w:rPr>
          <w:lang w:val="fr-FR"/>
        </w:rPr>
        <w:t>’</w:t>
      </w:r>
      <w:r w:rsidRPr="009E0E08">
        <w:rPr>
          <w:lang w:val="fr-FR"/>
        </w:rPr>
        <w:t xml:space="preserve">affirme le Gouvernement dans ses observations (paragraphe </w:t>
      </w:r>
      <w:r w:rsidRPr="009E0E08">
        <w:rPr>
          <w:lang w:val="fr-FR"/>
        </w:rPr>
        <w:fldChar w:fldCharType="begin"/>
      </w:r>
      <w:r w:rsidRPr="009E0E08">
        <w:rPr>
          <w:lang w:val="fr-FR"/>
        </w:rPr>
        <w:instrText xml:space="preserve"> REF OBS_GVT \h  \* MERGEFORMAT </w:instrText>
      </w:r>
      <w:r w:rsidRPr="009E0E08">
        <w:rPr>
          <w:lang w:val="fr-FR"/>
        </w:rPr>
      </w:r>
      <w:r w:rsidRPr="009E0E08">
        <w:rPr>
          <w:lang w:val="fr-FR"/>
        </w:rPr>
        <w:fldChar w:fldCharType="separate"/>
      </w:r>
      <w:r w:rsidR="009E0E08" w:rsidRPr="009E0E08">
        <w:rPr>
          <w:lang w:val="fr-FR"/>
        </w:rPr>
        <w:t>42</w:t>
      </w:r>
      <w:r w:rsidRPr="009E0E08">
        <w:rPr>
          <w:lang w:val="fr-FR"/>
        </w:rPr>
        <w:fldChar w:fldCharType="end"/>
      </w:r>
      <w:r w:rsidRPr="009E0E08">
        <w:rPr>
          <w:lang w:val="fr-FR"/>
        </w:rPr>
        <w:t xml:space="preserve"> ci-dessus), le fait que la somme provisionnelle allouée aux parties civiles à titre de dommage-intérêts a été versée par la société d</w:t>
      </w:r>
      <w:r w:rsidR="009E0E08" w:rsidRPr="009E0E08">
        <w:rPr>
          <w:lang w:val="fr-FR"/>
        </w:rPr>
        <w:t>’</w:t>
      </w:r>
      <w:r w:rsidRPr="009E0E08">
        <w:rPr>
          <w:lang w:val="fr-FR"/>
        </w:rPr>
        <w:t>édition de l</w:t>
      </w:r>
      <w:r w:rsidR="009E0E08" w:rsidRPr="009E0E08">
        <w:rPr>
          <w:lang w:val="fr-FR"/>
        </w:rPr>
        <w:t>’</w:t>
      </w:r>
      <w:r w:rsidRPr="009E0E08">
        <w:rPr>
          <w:lang w:val="fr-FR"/>
        </w:rPr>
        <w:t>hebdomadaire n</w:t>
      </w:r>
      <w:r w:rsidR="009E0E08" w:rsidRPr="009E0E08">
        <w:rPr>
          <w:lang w:val="fr-FR"/>
        </w:rPr>
        <w:t>’</w:t>
      </w:r>
      <w:r w:rsidRPr="009E0E08">
        <w:rPr>
          <w:lang w:val="fr-FR"/>
        </w:rPr>
        <w:t>est pas susceptible de modifier la situation (</w:t>
      </w:r>
      <w:r w:rsidRPr="009E0E08">
        <w:rPr>
          <w:i/>
          <w:lang w:val="fr-FR"/>
        </w:rPr>
        <w:t>Kapsis et Danikas</w:t>
      </w:r>
      <w:r w:rsidRPr="009E0E08">
        <w:rPr>
          <w:lang w:val="fr-FR"/>
        </w:rPr>
        <w:t>, précité, § 40). En effet, l</w:t>
      </w:r>
      <w:r w:rsidR="009E0E08" w:rsidRPr="009E0E08">
        <w:rPr>
          <w:lang w:val="fr-FR"/>
        </w:rPr>
        <w:t>’</w:t>
      </w:r>
      <w:r w:rsidRPr="009E0E08">
        <w:rPr>
          <w:lang w:val="fr-FR"/>
        </w:rPr>
        <w:t>on ne saurait nier l</w:t>
      </w:r>
      <w:r w:rsidR="009E0E08" w:rsidRPr="009E0E08">
        <w:rPr>
          <w:lang w:val="fr-FR"/>
        </w:rPr>
        <w:t>’</w:t>
      </w:r>
      <w:r w:rsidRPr="009E0E08">
        <w:rPr>
          <w:lang w:val="fr-FR"/>
        </w:rPr>
        <w:t>effet dissuasif de pareilles sanctions sur le rôle des journalistes (</w:t>
      </w:r>
      <w:r w:rsidR="00F17ABF" w:rsidRPr="009E0E08">
        <w:rPr>
          <w:i/>
          <w:iCs/>
          <w:lang w:val="fr-FR"/>
        </w:rPr>
        <w:t>Narodni </w:t>
      </w:r>
      <w:r w:rsidRPr="009E0E08">
        <w:rPr>
          <w:i/>
          <w:iCs/>
          <w:lang w:val="fr-FR"/>
        </w:rPr>
        <w:t>List D.D. c. Croatie</w:t>
      </w:r>
      <w:r w:rsidRPr="009E0E08">
        <w:rPr>
          <w:lang w:val="fr-FR" w:eastAsia="en-GB"/>
        </w:rPr>
        <w:t xml:space="preserve">, </w:t>
      </w:r>
      <w:r w:rsidRPr="009E0E08">
        <w:rPr>
          <w:lang w:val="fr-FR"/>
        </w:rPr>
        <w:t>n</w:t>
      </w:r>
      <w:r w:rsidRPr="009E0E08">
        <w:rPr>
          <w:vertAlign w:val="superscript"/>
          <w:lang w:val="fr-FR"/>
        </w:rPr>
        <w:t>o</w:t>
      </w:r>
      <w:r w:rsidRPr="009E0E08">
        <w:rPr>
          <w:lang w:val="fr-FR"/>
        </w:rPr>
        <w:t> 2782/12</w:t>
      </w:r>
      <w:r w:rsidRPr="009E0E08">
        <w:rPr>
          <w:lang w:val="fr-FR" w:eastAsia="en-GB"/>
        </w:rPr>
        <w:t xml:space="preserve">, </w:t>
      </w:r>
      <w:r w:rsidRPr="009E0E08">
        <w:rPr>
          <w:lang w:val="fr-FR"/>
        </w:rPr>
        <w:t>§ 71, 8 novembre 2018) de contribuer à la discussion publique de questions qui intéressent la vie de la collectivité.</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62</w:t>
      </w:r>
      <w:r w:rsidRPr="009E0E08">
        <w:rPr>
          <w:lang w:val="fr-FR"/>
        </w:rPr>
        <w:fldChar w:fldCharType="end"/>
      </w:r>
      <w:r w:rsidRPr="009E0E08">
        <w:rPr>
          <w:lang w:val="fr-FR"/>
        </w:rPr>
        <w:t>.  Compte tenu de ce qui précède, la Cour conclut que la condamnation des requérants s</w:t>
      </w:r>
      <w:r w:rsidR="009E0E08" w:rsidRPr="009E0E08">
        <w:rPr>
          <w:lang w:val="fr-FR"/>
        </w:rPr>
        <w:t>’</w:t>
      </w:r>
      <w:r w:rsidRPr="009E0E08">
        <w:rPr>
          <w:lang w:val="fr-FR"/>
        </w:rPr>
        <w:t>analyse en une ingérence disproportionnée dans le droit à la liberté d</w:t>
      </w:r>
      <w:r w:rsidR="009E0E08" w:rsidRPr="009E0E08">
        <w:rPr>
          <w:lang w:val="fr-FR"/>
        </w:rPr>
        <w:t>’</w:t>
      </w:r>
      <w:r w:rsidRPr="009E0E08">
        <w:rPr>
          <w:lang w:val="fr-FR"/>
        </w:rPr>
        <w:t>expression des intéressés, qui n</w:t>
      </w:r>
      <w:r w:rsidR="009E0E08" w:rsidRPr="009E0E08">
        <w:rPr>
          <w:lang w:val="fr-FR"/>
        </w:rPr>
        <w:t>’</w:t>
      </w:r>
      <w:r w:rsidRPr="009E0E08">
        <w:rPr>
          <w:lang w:val="fr-FR"/>
        </w:rPr>
        <w:t>était donc pas « nécessaire dans une société démocratique » au sens de l</w:t>
      </w:r>
      <w:r w:rsidR="009E0E08" w:rsidRPr="009E0E08">
        <w:rPr>
          <w:lang w:val="fr-FR"/>
        </w:rPr>
        <w:t>’</w:t>
      </w:r>
      <w:r w:rsidRPr="009E0E08">
        <w:rPr>
          <w:lang w:val="fr-FR"/>
        </w:rPr>
        <w:t>article 10 de la Convention.</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63</w:t>
      </w:r>
      <w:r w:rsidRPr="009E0E08">
        <w:rPr>
          <w:lang w:val="fr-FR"/>
        </w:rPr>
        <w:fldChar w:fldCharType="end"/>
      </w:r>
      <w:r w:rsidRPr="009E0E08">
        <w:rPr>
          <w:lang w:val="fr-FR"/>
        </w:rPr>
        <w:t>.  Partant, il y a eu violation de cette disposition.</w:t>
      </w:r>
    </w:p>
    <w:p w:rsidR="009C7C1B" w:rsidRPr="009E0E08" w:rsidRDefault="009C7C1B" w:rsidP="009E0E08">
      <w:pPr>
        <w:pStyle w:val="ECHRHeading1"/>
        <w:rPr>
          <w:lang w:val="fr-FR"/>
        </w:rPr>
      </w:pPr>
      <w:r w:rsidRPr="009E0E08">
        <w:rPr>
          <w:lang w:val="fr-FR"/>
        </w:rPr>
        <w:t>II.  SUR L</w:t>
      </w:r>
      <w:r w:rsidR="009E0E08" w:rsidRPr="009E0E08">
        <w:rPr>
          <w:lang w:val="fr-FR"/>
        </w:rPr>
        <w:t>’</w:t>
      </w:r>
      <w:r w:rsidRPr="009E0E08">
        <w:rPr>
          <w:lang w:val="fr-FR"/>
        </w:rPr>
        <w:t>APPLICATION DE L</w:t>
      </w:r>
      <w:r w:rsidR="009E0E08" w:rsidRPr="009E0E08">
        <w:rPr>
          <w:lang w:val="fr-FR"/>
        </w:rPr>
        <w:t>’</w:t>
      </w:r>
      <w:r w:rsidRPr="009E0E08">
        <w:rPr>
          <w:lang w:val="fr-FR"/>
        </w:rPr>
        <w:t>ARTICLE 41 DE LA CONVENTION</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64</w:t>
      </w:r>
      <w:r w:rsidRPr="009E0E08">
        <w:rPr>
          <w:lang w:val="fr-FR"/>
        </w:rPr>
        <w:fldChar w:fldCharType="end"/>
      </w:r>
      <w:r w:rsidRPr="009E0E08">
        <w:rPr>
          <w:lang w:val="fr-FR"/>
        </w:rPr>
        <w:t>.  Aux termes de l</w:t>
      </w:r>
      <w:r w:rsidR="009E0E08" w:rsidRPr="009E0E08">
        <w:rPr>
          <w:lang w:val="fr-FR"/>
        </w:rPr>
        <w:t>’</w:t>
      </w:r>
      <w:r w:rsidRPr="009E0E08">
        <w:rPr>
          <w:lang w:val="fr-FR"/>
        </w:rPr>
        <w:t>article 41 de la Convention,</w:t>
      </w:r>
    </w:p>
    <w:p w:rsidR="009C7C1B" w:rsidRPr="009E0E08" w:rsidRDefault="009C7C1B" w:rsidP="009E0E08">
      <w:pPr>
        <w:pStyle w:val="ECHRParaQuote"/>
        <w:keepNext/>
        <w:keepLines/>
        <w:rPr>
          <w:lang w:val="fr-FR"/>
        </w:rPr>
      </w:pPr>
      <w:r w:rsidRPr="009E0E08">
        <w:rPr>
          <w:lang w:val="fr-FR"/>
        </w:rPr>
        <w:t>« Si la Cour déclare qu</w:t>
      </w:r>
      <w:r w:rsidR="009E0E08" w:rsidRPr="009E0E08">
        <w:rPr>
          <w:lang w:val="fr-FR"/>
        </w:rPr>
        <w:t>’</w:t>
      </w:r>
      <w:r w:rsidRPr="009E0E08">
        <w:rPr>
          <w:lang w:val="fr-FR"/>
        </w:rPr>
        <w:t>il y a eu violation de la Convention ou de ses Protocoles, et si le droit interne de la Haute Partie contractante ne permet d</w:t>
      </w:r>
      <w:r w:rsidR="009E0E08" w:rsidRPr="009E0E08">
        <w:rPr>
          <w:lang w:val="fr-FR"/>
        </w:rPr>
        <w:t>’</w:t>
      </w:r>
      <w:r w:rsidRPr="009E0E08">
        <w:rPr>
          <w:lang w:val="fr-FR"/>
        </w:rPr>
        <w:t>effacer qu</w:t>
      </w:r>
      <w:r w:rsidR="009E0E08" w:rsidRPr="009E0E08">
        <w:rPr>
          <w:lang w:val="fr-FR"/>
        </w:rPr>
        <w:t>’</w:t>
      </w:r>
      <w:r w:rsidRPr="009E0E08">
        <w:rPr>
          <w:lang w:val="fr-FR"/>
        </w:rPr>
        <w:t>imparfaitement les conséquences de cette violation, la Cour accorde à la partie lésée, s</w:t>
      </w:r>
      <w:r w:rsidR="009E0E08" w:rsidRPr="009E0E08">
        <w:rPr>
          <w:lang w:val="fr-FR"/>
        </w:rPr>
        <w:t>’</w:t>
      </w:r>
      <w:r w:rsidRPr="009E0E08">
        <w:rPr>
          <w:lang w:val="fr-FR"/>
        </w:rPr>
        <w:t>il y a lieu, une satisfaction équitable. »</w:t>
      </w:r>
    </w:p>
    <w:p w:rsidR="009C7C1B" w:rsidRPr="009E0E08" w:rsidRDefault="009C7C1B" w:rsidP="009E0E08">
      <w:pPr>
        <w:pStyle w:val="ECHRHeading2"/>
        <w:rPr>
          <w:lang w:val="fr-FR"/>
        </w:rPr>
      </w:pPr>
      <w:r w:rsidRPr="009E0E08">
        <w:rPr>
          <w:lang w:val="fr-FR"/>
        </w:rPr>
        <w:t>A.  Dommage</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65</w:t>
      </w:r>
      <w:r w:rsidRPr="009E0E08">
        <w:rPr>
          <w:lang w:val="fr-FR"/>
        </w:rPr>
        <w:fldChar w:fldCharType="end"/>
      </w:r>
      <w:r w:rsidRPr="009E0E08">
        <w:rPr>
          <w:lang w:val="fr-FR"/>
        </w:rPr>
        <w:t>.  Les requérants réclament 15 000 euros (EUR) chacun au titre du préjudice moral qu</w:t>
      </w:r>
      <w:r w:rsidR="009E0E08" w:rsidRPr="009E0E08">
        <w:rPr>
          <w:lang w:val="fr-FR"/>
        </w:rPr>
        <w:t>’</w:t>
      </w:r>
      <w:r w:rsidRPr="009E0E08">
        <w:rPr>
          <w:lang w:val="fr-FR"/>
        </w:rPr>
        <w:t>ils disent avoir subi.</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66</w:t>
      </w:r>
      <w:r w:rsidRPr="009E0E08">
        <w:rPr>
          <w:lang w:val="fr-FR"/>
        </w:rPr>
        <w:fldChar w:fldCharType="end"/>
      </w:r>
      <w:r w:rsidRPr="009E0E08">
        <w:rPr>
          <w:lang w:val="fr-FR"/>
        </w:rPr>
        <w:t>.  Le Gouvernement conteste la demande, qu</w:t>
      </w:r>
      <w:r w:rsidR="009E0E08" w:rsidRPr="009E0E08">
        <w:rPr>
          <w:lang w:val="fr-FR"/>
        </w:rPr>
        <w:t>’</w:t>
      </w:r>
      <w:r w:rsidRPr="009E0E08">
        <w:rPr>
          <w:lang w:val="fr-FR"/>
        </w:rPr>
        <w:t>il estime être mal-fondée et, en tout état de cause, excessive.</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67</w:t>
      </w:r>
      <w:r w:rsidRPr="009E0E08">
        <w:rPr>
          <w:lang w:val="fr-FR"/>
        </w:rPr>
        <w:fldChar w:fldCharType="end"/>
      </w:r>
      <w:r w:rsidRPr="009E0E08">
        <w:rPr>
          <w:lang w:val="fr-FR"/>
        </w:rPr>
        <w:t>.  La Cour considère qu</w:t>
      </w:r>
      <w:r w:rsidR="009E0E08" w:rsidRPr="009E0E08">
        <w:rPr>
          <w:lang w:val="fr-FR"/>
        </w:rPr>
        <w:t>’</w:t>
      </w:r>
      <w:r w:rsidRPr="009E0E08">
        <w:rPr>
          <w:lang w:val="fr-FR"/>
        </w:rPr>
        <w:t>il y a lieu d</w:t>
      </w:r>
      <w:r w:rsidR="009E0E08" w:rsidRPr="009E0E08">
        <w:rPr>
          <w:lang w:val="fr-FR"/>
        </w:rPr>
        <w:t>’</w:t>
      </w:r>
      <w:r w:rsidRPr="009E0E08">
        <w:rPr>
          <w:lang w:val="fr-FR"/>
        </w:rPr>
        <w:t>octroyer, à chaque requérant, l</w:t>
      </w:r>
      <w:r w:rsidR="009E0E08" w:rsidRPr="009E0E08">
        <w:rPr>
          <w:lang w:val="fr-FR"/>
        </w:rPr>
        <w:t>’</w:t>
      </w:r>
      <w:r w:rsidRPr="009E0E08">
        <w:rPr>
          <w:lang w:val="fr-FR"/>
        </w:rPr>
        <w:t>intégralité de la somme réclamée.</w:t>
      </w:r>
    </w:p>
    <w:p w:rsidR="009C7C1B" w:rsidRPr="009E0E08" w:rsidRDefault="009C7C1B" w:rsidP="009E0E08">
      <w:pPr>
        <w:pStyle w:val="ECHRHeading2"/>
        <w:rPr>
          <w:lang w:val="fr-FR"/>
        </w:rPr>
      </w:pPr>
      <w:r w:rsidRPr="009E0E08">
        <w:rPr>
          <w:lang w:val="fr-FR"/>
        </w:rPr>
        <w:t>B.  Frais et dépens</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68</w:t>
      </w:r>
      <w:r w:rsidRPr="009E0E08">
        <w:rPr>
          <w:lang w:val="fr-FR"/>
        </w:rPr>
        <w:fldChar w:fldCharType="end"/>
      </w:r>
      <w:r w:rsidRPr="009E0E08">
        <w:rPr>
          <w:lang w:val="fr-FR"/>
        </w:rPr>
        <w:t>.  Les requérants sollicitent également 9 920 EUR pour les seuls frais et dépens engagés devant la Cour.</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69</w:t>
      </w:r>
      <w:r w:rsidRPr="009E0E08">
        <w:rPr>
          <w:lang w:val="fr-FR"/>
        </w:rPr>
        <w:fldChar w:fldCharType="end"/>
      </w:r>
      <w:r w:rsidRPr="009E0E08">
        <w:rPr>
          <w:lang w:val="fr-FR"/>
        </w:rPr>
        <w:t>.  Le Gouvernement conteste le bien-fondé de cette demande et, à titre subsidiaire, soutient que seuls les frais effectivement engagés, étayés par des documents, peuvent être pris en compte par la Cour.</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70</w:t>
      </w:r>
      <w:r w:rsidRPr="009E0E08">
        <w:rPr>
          <w:lang w:val="fr-FR"/>
        </w:rPr>
        <w:fldChar w:fldCharType="end"/>
      </w:r>
      <w:r w:rsidRPr="009E0E08">
        <w:rPr>
          <w:lang w:val="fr-FR"/>
        </w:rPr>
        <w:t>.  Selon la jurisprudence de la Cour, un requérant ne peut obtenir le remboursement de ses frais et dépens que dans la mesure où se trouvent établis leur réalité, leur nécessité et le caractère raisonnable de leur taux. En l</w:t>
      </w:r>
      <w:r w:rsidR="009E0E08" w:rsidRPr="009E0E08">
        <w:rPr>
          <w:lang w:val="fr-FR"/>
        </w:rPr>
        <w:t>’</w:t>
      </w:r>
      <w:r w:rsidRPr="009E0E08">
        <w:rPr>
          <w:lang w:val="fr-FR"/>
        </w:rPr>
        <w:t>espèce, compte tenu des documents dont elle dispose et de sa jurisprudence, la Cour estime raisonnable d</w:t>
      </w:r>
      <w:r w:rsidR="009E0E08" w:rsidRPr="009E0E08">
        <w:rPr>
          <w:lang w:val="fr-FR"/>
        </w:rPr>
        <w:t>’</w:t>
      </w:r>
      <w:r w:rsidRPr="009E0E08">
        <w:rPr>
          <w:lang w:val="fr-FR"/>
        </w:rPr>
        <w:t>accorder conjointement aux requérants la somme de 3 500 EUR pour la procédure devant elle.</w:t>
      </w:r>
    </w:p>
    <w:p w:rsidR="009C7C1B" w:rsidRPr="009E0E08" w:rsidRDefault="009C7C1B" w:rsidP="009E0E08">
      <w:pPr>
        <w:pStyle w:val="ECHRHeading2"/>
        <w:rPr>
          <w:lang w:val="fr-FR"/>
        </w:rPr>
      </w:pPr>
      <w:r w:rsidRPr="009E0E08">
        <w:rPr>
          <w:lang w:val="fr-FR"/>
        </w:rPr>
        <w:t>C.  Intérêts moratoires</w:t>
      </w:r>
    </w:p>
    <w:p w:rsidR="009C7C1B" w:rsidRPr="009E0E08" w:rsidRDefault="009C7C1B" w:rsidP="009E0E08">
      <w:pPr>
        <w:pStyle w:val="ECHRPara"/>
        <w:rPr>
          <w:lang w:val="fr-FR"/>
        </w:rPr>
      </w:pPr>
      <w:r w:rsidRPr="009E0E08">
        <w:rPr>
          <w:lang w:val="fr-FR"/>
        </w:rPr>
        <w:fldChar w:fldCharType="begin"/>
      </w:r>
      <w:r w:rsidRPr="009E0E08">
        <w:rPr>
          <w:lang w:val="fr-FR"/>
        </w:rPr>
        <w:instrText xml:space="preserve"> SEQ level0 \*arabic </w:instrText>
      </w:r>
      <w:r w:rsidRPr="009E0E08">
        <w:rPr>
          <w:lang w:val="fr-FR"/>
        </w:rPr>
        <w:fldChar w:fldCharType="separate"/>
      </w:r>
      <w:r w:rsidR="009E0E08" w:rsidRPr="009E0E08">
        <w:rPr>
          <w:noProof/>
          <w:lang w:val="fr-FR"/>
        </w:rPr>
        <w:t>71</w:t>
      </w:r>
      <w:r w:rsidRPr="009E0E08">
        <w:rPr>
          <w:lang w:val="fr-FR"/>
        </w:rPr>
        <w:fldChar w:fldCharType="end"/>
      </w:r>
      <w:r w:rsidRPr="009E0E08">
        <w:rPr>
          <w:lang w:val="fr-FR"/>
        </w:rPr>
        <w:t>.  La Cour juge approprié de calquer le taux des intérêts moratoires sur le taux d</w:t>
      </w:r>
      <w:r w:rsidR="009E0E08" w:rsidRPr="009E0E08">
        <w:rPr>
          <w:lang w:val="fr-FR"/>
        </w:rPr>
        <w:t>’</w:t>
      </w:r>
      <w:r w:rsidRPr="009E0E08">
        <w:rPr>
          <w:lang w:val="fr-FR"/>
        </w:rPr>
        <w:t>intérêt de la facilité de prêt marginal de la Banque centrale européenne majoré de trois points de pourcentage.</w:t>
      </w:r>
    </w:p>
    <w:p w:rsidR="009C7C1B" w:rsidRPr="009E0E08" w:rsidRDefault="009C7C1B" w:rsidP="009E0E08">
      <w:pPr>
        <w:pStyle w:val="ECHRTitle1"/>
        <w:rPr>
          <w:lang w:val="fr-FR"/>
        </w:rPr>
      </w:pPr>
      <w:r w:rsidRPr="009E0E08">
        <w:rPr>
          <w:lang w:val="fr-FR"/>
        </w:rPr>
        <w:t>PAR CES MOTIFS, LA COUR, À L</w:t>
      </w:r>
      <w:r w:rsidR="009E0E08" w:rsidRPr="009E0E08">
        <w:rPr>
          <w:lang w:val="fr-FR"/>
        </w:rPr>
        <w:t>’</w:t>
      </w:r>
      <w:r w:rsidRPr="009E0E08">
        <w:rPr>
          <w:lang w:val="fr-FR"/>
        </w:rPr>
        <w:t>UNANIMITÉ,</w:t>
      </w:r>
    </w:p>
    <w:p w:rsidR="009C7C1B" w:rsidRPr="009E0E08" w:rsidRDefault="009C7C1B" w:rsidP="009E0E08">
      <w:pPr>
        <w:pStyle w:val="JuList"/>
        <w:ind w:left="0" w:firstLine="0"/>
        <w:rPr>
          <w:lang w:val="fr-FR"/>
        </w:rPr>
      </w:pPr>
      <w:r w:rsidRPr="009E0E08">
        <w:rPr>
          <w:lang w:val="fr-FR"/>
        </w:rPr>
        <w:t>1.  </w:t>
      </w:r>
      <w:r w:rsidRPr="009E0E08">
        <w:rPr>
          <w:i/>
          <w:lang w:val="fr-FR"/>
        </w:rPr>
        <w:t>Déclare</w:t>
      </w:r>
      <w:r w:rsidRPr="009E0E08">
        <w:rPr>
          <w:lang w:val="fr-FR"/>
        </w:rPr>
        <w:t xml:space="preserve"> la requête recevable ;</w:t>
      </w:r>
    </w:p>
    <w:p w:rsidR="009C7C1B" w:rsidRPr="009E0E08" w:rsidRDefault="009C7C1B" w:rsidP="009E0E08">
      <w:pPr>
        <w:pStyle w:val="JuList"/>
        <w:ind w:left="0" w:firstLine="0"/>
        <w:rPr>
          <w:lang w:val="fr-FR"/>
        </w:rPr>
      </w:pPr>
    </w:p>
    <w:p w:rsidR="009C7C1B" w:rsidRPr="009E0E08" w:rsidRDefault="009C7C1B" w:rsidP="009E0E08">
      <w:pPr>
        <w:pStyle w:val="JuList"/>
        <w:rPr>
          <w:lang w:val="fr-FR"/>
        </w:rPr>
      </w:pPr>
      <w:r w:rsidRPr="009E0E08">
        <w:rPr>
          <w:lang w:val="fr-FR"/>
        </w:rPr>
        <w:t>2.  </w:t>
      </w:r>
      <w:r w:rsidRPr="009E0E08">
        <w:rPr>
          <w:i/>
          <w:lang w:val="fr-FR"/>
        </w:rPr>
        <w:t>Dit</w:t>
      </w:r>
      <w:r w:rsidRPr="009E0E08">
        <w:rPr>
          <w:lang w:val="fr-FR"/>
        </w:rPr>
        <w:t xml:space="preserve"> qu</w:t>
      </w:r>
      <w:r w:rsidR="009E0E08" w:rsidRPr="009E0E08">
        <w:rPr>
          <w:lang w:val="fr-FR"/>
        </w:rPr>
        <w:t>’</w:t>
      </w:r>
      <w:r w:rsidRPr="009E0E08">
        <w:rPr>
          <w:lang w:val="fr-FR"/>
        </w:rPr>
        <w:t>il y a eu violation de l</w:t>
      </w:r>
      <w:r w:rsidR="009E0E08" w:rsidRPr="009E0E08">
        <w:rPr>
          <w:lang w:val="fr-FR"/>
        </w:rPr>
        <w:t>’</w:t>
      </w:r>
      <w:r w:rsidRPr="009E0E08">
        <w:rPr>
          <w:lang w:val="fr-FR"/>
        </w:rPr>
        <w:t>article 10 de la Convention ;</w:t>
      </w:r>
    </w:p>
    <w:p w:rsidR="009C7C1B" w:rsidRPr="009E0E08" w:rsidRDefault="009C7C1B" w:rsidP="009E0E08">
      <w:pPr>
        <w:pStyle w:val="JuList"/>
        <w:rPr>
          <w:lang w:val="fr-FR"/>
        </w:rPr>
      </w:pPr>
    </w:p>
    <w:p w:rsidR="009C7C1B" w:rsidRPr="009E0E08" w:rsidRDefault="009C7C1B" w:rsidP="009E0E08">
      <w:pPr>
        <w:pStyle w:val="JuList"/>
        <w:rPr>
          <w:lang w:val="fr-FR"/>
        </w:rPr>
      </w:pPr>
      <w:r w:rsidRPr="009E0E08">
        <w:rPr>
          <w:lang w:val="fr-FR"/>
        </w:rPr>
        <w:t>3.  </w:t>
      </w:r>
      <w:r w:rsidRPr="009E0E08">
        <w:rPr>
          <w:i/>
          <w:lang w:val="fr-FR"/>
        </w:rPr>
        <w:t>Dit</w:t>
      </w:r>
    </w:p>
    <w:p w:rsidR="009C7C1B" w:rsidRPr="009E0E08" w:rsidRDefault="009C7C1B" w:rsidP="009E0E08">
      <w:pPr>
        <w:pStyle w:val="JuLista"/>
        <w:rPr>
          <w:lang w:val="fr-FR"/>
        </w:rPr>
      </w:pPr>
      <w:r w:rsidRPr="009E0E08">
        <w:rPr>
          <w:lang w:val="fr-FR"/>
        </w:rPr>
        <w:t>a)  que l</w:t>
      </w:r>
      <w:r w:rsidR="009E0E08" w:rsidRPr="009E0E08">
        <w:rPr>
          <w:lang w:val="fr-FR"/>
        </w:rPr>
        <w:t>’</w:t>
      </w:r>
      <w:r w:rsidRPr="009E0E08">
        <w:rPr>
          <w:lang w:val="fr-FR"/>
        </w:rPr>
        <w:t>État défendeur doit verser, dans les trois mois à compter du jour où l</w:t>
      </w:r>
      <w:r w:rsidR="009E0E08" w:rsidRPr="009E0E08">
        <w:rPr>
          <w:lang w:val="fr-FR"/>
        </w:rPr>
        <w:t>’</w:t>
      </w:r>
      <w:r w:rsidRPr="009E0E08">
        <w:rPr>
          <w:lang w:val="fr-FR"/>
        </w:rPr>
        <w:t>arrêt sera devenu définitif conformément à l</w:t>
      </w:r>
      <w:r w:rsidR="009E0E08" w:rsidRPr="009E0E08">
        <w:rPr>
          <w:lang w:val="fr-FR"/>
        </w:rPr>
        <w:t>’</w:t>
      </w:r>
      <w:r w:rsidRPr="009E0E08">
        <w:rPr>
          <w:lang w:val="fr-FR"/>
        </w:rPr>
        <w:t>article 44 § 2 de la Convention, les sommes suivantes :</w:t>
      </w:r>
    </w:p>
    <w:p w:rsidR="009C7C1B" w:rsidRPr="009E0E08" w:rsidRDefault="009C7C1B" w:rsidP="009E0E08">
      <w:pPr>
        <w:pStyle w:val="JuListi"/>
        <w:rPr>
          <w:lang w:val="fr-FR" w:eastAsia="en-GB"/>
        </w:rPr>
      </w:pPr>
      <w:r w:rsidRPr="009E0E08">
        <w:rPr>
          <w:lang w:val="fr-FR" w:eastAsia="en-GB"/>
        </w:rPr>
        <w:t>i.  15</w:t>
      </w:r>
      <w:r w:rsidRPr="009E0E08">
        <w:rPr>
          <w:lang w:val="fr-FR"/>
        </w:rPr>
        <w:t xml:space="preserve"> 000 </w:t>
      </w:r>
      <w:r w:rsidRPr="009E0E08">
        <w:rPr>
          <w:lang w:val="fr-FR" w:eastAsia="en-GB"/>
        </w:rPr>
        <w:t>EUR (quinze mille euros) à chacun des requérants, pour dommage moral, plus tout montant pouvant être dû à titre d</w:t>
      </w:r>
      <w:r w:rsidR="009E0E08" w:rsidRPr="009E0E08">
        <w:rPr>
          <w:lang w:val="fr-FR" w:eastAsia="en-GB"/>
        </w:rPr>
        <w:t>’</w:t>
      </w:r>
      <w:r w:rsidRPr="009E0E08">
        <w:rPr>
          <w:lang w:val="fr-FR" w:eastAsia="en-GB"/>
        </w:rPr>
        <w:t>impôt sur cette somme ;</w:t>
      </w:r>
    </w:p>
    <w:p w:rsidR="009C7C1B" w:rsidRPr="009E0E08" w:rsidRDefault="009C7C1B" w:rsidP="009E0E08">
      <w:pPr>
        <w:pStyle w:val="JuListi"/>
        <w:rPr>
          <w:lang w:val="fr-FR" w:eastAsia="en-GB"/>
        </w:rPr>
      </w:pPr>
      <w:r w:rsidRPr="009E0E08">
        <w:rPr>
          <w:lang w:val="fr-FR" w:eastAsia="en-GB"/>
        </w:rPr>
        <w:t>ii.  3 500 EUR (trois mille cinq cents euros)</w:t>
      </w:r>
      <w:r w:rsidRPr="009E0E08">
        <w:rPr>
          <w:lang w:val="fr-FR"/>
        </w:rPr>
        <w:t xml:space="preserve"> conjointement aux requérants</w:t>
      </w:r>
      <w:r w:rsidRPr="009E0E08">
        <w:rPr>
          <w:lang w:val="fr-FR" w:eastAsia="en-GB"/>
        </w:rPr>
        <w:t>, plus tout montant pouvant être dû par eux</w:t>
      </w:r>
      <w:r w:rsidRPr="009E0E08">
        <w:rPr>
          <w:lang w:val="fr-FR"/>
        </w:rPr>
        <w:t xml:space="preserve"> </w:t>
      </w:r>
      <w:r w:rsidRPr="009E0E08">
        <w:rPr>
          <w:lang w:val="fr-FR" w:eastAsia="en-GB"/>
        </w:rPr>
        <w:t>à titre d</w:t>
      </w:r>
      <w:r w:rsidR="009E0E08" w:rsidRPr="009E0E08">
        <w:rPr>
          <w:lang w:val="fr-FR" w:eastAsia="en-GB"/>
        </w:rPr>
        <w:t>’</w:t>
      </w:r>
      <w:r w:rsidRPr="009E0E08">
        <w:rPr>
          <w:lang w:val="fr-FR" w:eastAsia="en-GB"/>
        </w:rPr>
        <w:t>impôt sur cette somme, pour frais et dépens ;</w:t>
      </w:r>
    </w:p>
    <w:p w:rsidR="009C7C1B" w:rsidRPr="009E0E08" w:rsidRDefault="009C7C1B" w:rsidP="009E0E08">
      <w:pPr>
        <w:pStyle w:val="JuLista"/>
        <w:rPr>
          <w:lang w:val="fr-FR"/>
        </w:rPr>
      </w:pPr>
      <w:r w:rsidRPr="009E0E08">
        <w:rPr>
          <w:lang w:val="fr-FR"/>
        </w:rPr>
        <w:t>b)  qu</w:t>
      </w:r>
      <w:r w:rsidR="009E0E08" w:rsidRPr="009E0E08">
        <w:rPr>
          <w:lang w:val="fr-FR"/>
        </w:rPr>
        <w:t>’</w:t>
      </w:r>
      <w:r w:rsidRPr="009E0E08">
        <w:rPr>
          <w:lang w:val="fr-FR"/>
        </w:rPr>
        <w:t>à compter de l</w:t>
      </w:r>
      <w:r w:rsidR="009E0E08" w:rsidRPr="009E0E08">
        <w:rPr>
          <w:lang w:val="fr-FR"/>
        </w:rPr>
        <w:t>’</w:t>
      </w:r>
      <w:r w:rsidRPr="009E0E08">
        <w:rPr>
          <w:lang w:val="fr-FR"/>
        </w:rPr>
        <w:t>expiration dudit délai et jusqu</w:t>
      </w:r>
      <w:r w:rsidR="009E0E08" w:rsidRPr="009E0E08">
        <w:rPr>
          <w:lang w:val="fr-FR"/>
        </w:rPr>
        <w:t>’</w:t>
      </w:r>
      <w:r w:rsidRPr="009E0E08">
        <w:rPr>
          <w:lang w:val="fr-FR"/>
        </w:rPr>
        <w:t>au versement, ces montants seront à majorer d</w:t>
      </w:r>
      <w:r w:rsidR="009E0E08" w:rsidRPr="009E0E08">
        <w:rPr>
          <w:lang w:val="fr-FR"/>
        </w:rPr>
        <w:t>’</w:t>
      </w:r>
      <w:r w:rsidRPr="009E0E08">
        <w:rPr>
          <w:lang w:val="fr-FR"/>
        </w:rPr>
        <w:t>un intérêt simple à un taux égal à celui de la facilité de prêt marginal de la Banque centrale européenne applicable pendant cette période, augmenté de trois points de pourcentage ;</w:t>
      </w:r>
    </w:p>
    <w:p w:rsidR="009C7C1B" w:rsidRPr="009E0E08" w:rsidRDefault="009C7C1B" w:rsidP="009E0E08">
      <w:pPr>
        <w:pStyle w:val="JuList"/>
        <w:rPr>
          <w:lang w:val="fr-FR"/>
        </w:rPr>
      </w:pPr>
    </w:p>
    <w:p w:rsidR="0055090B" w:rsidRPr="009E0E08" w:rsidRDefault="009C7C1B" w:rsidP="009E0E08">
      <w:pPr>
        <w:pStyle w:val="JuList"/>
        <w:rPr>
          <w:lang w:val="fr-FR"/>
        </w:rPr>
      </w:pPr>
      <w:r w:rsidRPr="009E0E08">
        <w:rPr>
          <w:lang w:val="fr-FR"/>
        </w:rPr>
        <w:t>4.  </w:t>
      </w:r>
      <w:r w:rsidRPr="009E0E08">
        <w:rPr>
          <w:i/>
          <w:lang w:val="fr-FR"/>
        </w:rPr>
        <w:t>Rejette</w:t>
      </w:r>
      <w:r w:rsidRPr="009E0E08">
        <w:rPr>
          <w:lang w:val="fr-FR"/>
        </w:rPr>
        <w:t xml:space="preserve"> la demande de satisfaction équitable pour le surplus.</w:t>
      </w:r>
    </w:p>
    <w:p w:rsidR="0055090B" w:rsidRPr="009E0E08" w:rsidRDefault="0055090B" w:rsidP="009E0E08">
      <w:pPr>
        <w:pStyle w:val="JuParaLast"/>
        <w:keepNext w:val="0"/>
        <w:keepLines w:val="0"/>
        <w:rPr>
          <w:lang w:val="fr-FR"/>
        </w:rPr>
      </w:pPr>
      <w:r w:rsidRPr="009E0E08">
        <w:rPr>
          <w:lang w:val="fr-FR"/>
        </w:rPr>
        <w:t xml:space="preserve">Fait en français, puis communiqué par écrit le </w:t>
      </w:r>
      <w:r w:rsidR="009C7C1B" w:rsidRPr="009E0E08">
        <w:rPr>
          <w:rFonts w:ascii="Times New Roman" w:hAnsi="Times New Roman" w:cs="Times New Roman"/>
          <w:lang w:val="fr-FR"/>
        </w:rPr>
        <w:t>16 janvier 2020</w:t>
      </w:r>
      <w:r w:rsidRPr="009E0E08">
        <w:rPr>
          <w:lang w:val="fr-FR"/>
        </w:rPr>
        <w:t>, en application de l</w:t>
      </w:r>
      <w:r w:rsidR="009E0E08" w:rsidRPr="009E0E08">
        <w:rPr>
          <w:lang w:val="fr-FR"/>
        </w:rPr>
        <w:t>’</w:t>
      </w:r>
      <w:r w:rsidRPr="009E0E08">
        <w:rPr>
          <w:lang w:val="fr-FR"/>
        </w:rPr>
        <w:t>article 77 §§ 2 et 3 du règlement de la Cour.</w:t>
      </w:r>
    </w:p>
    <w:p w:rsidR="009E4339" w:rsidRPr="009E0E08" w:rsidRDefault="009C7C1B" w:rsidP="009E0E08">
      <w:pPr>
        <w:pStyle w:val="JuSigned"/>
        <w:rPr>
          <w:lang w:val="fr-FR"/>
        </w:rPr>
      </w:pPr>
      <w:r w:rsidRPr="009E0E08">
        <w:rPr>
          <w:lang w:val="fr-FR"/>
        </w:rPr>
        <w:tab/>
        <w:t>Abel Campos</w:t>
      </w:r>
      <w:r w:rsidR="0055090B" w:rsidRPr="009E0E08">
        <w:rPr>
          <w:lang w:val="fr-FR"/>
        </w:rPr>
        <w:tab/>
      </w:r>
      <w:r w:rsidR="00786DDB" w:rsidRPr="009E0E08">
        <w:rPr>
          <w:lang w:val="fr-FR"/>
        </w:rPr>
        <w:t>Krzysztof Wojtyczek</w:t>
      </w:r>
      <w:r w:rsidR="0055090B" w:rsidRPr="009E0E08">
        <w:rPr>
          <w:lang w:val="fr-FR"/>
        </w:rPr>
        <w:br/>
      </w:r>
      <w:r w:rsidR="0055090B" w:rsidRPr="009E0E08">
        <w:rPr>
          <w:lang w:val="fr-FR"/>
        </w:rPr>
        <w:tab/>
      </w:r>
      <w:r w:rsidRPr="009E0E08">
        <w:rPr>
          <w:lang w:val="fr-FR"/>
        </w:rPr>
        <w:t>Greffier</w:t>
      </w:r>
      <w:r w:rsidR="0055090B" w:rsidRPr="009E0E08">
        <w:rPr>
          <w:lang w:val="fr-FR"/>
        </w:rPr>
        <w:tab/>
      </w:r>
      <w:r w:rsidRPr="009E0E08">
        <w:rPr>
          <w:lang w:val="fr-FR"/>
        </w:rPr>
        <w:t>Président</w:t>
      </w:r>
    </w:p>
    <w:sectPr w:rsidR="009E4339" w:rsidRPr="009E0E08" w:rsidSect="009E4339">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23C" w:rsidRPr="00DB40B4" w:rsidRDefault="00F8223C">
      <w:r w:rsidRPr="00DB40B4">
        <w:separator/>
      </w:r>
    </w:p>
  </w:endnote>
  <w:endnote w:type="continuationSeparator" w:id="0">
    <w:p w:rsidR="00F8223C" w:rsidRPr="00DB40B4" w:rsidRDefault="00F8223C">
      <w:r w:rsidRPr="00DB40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3C" w:rsidRPr="00150BFA" w:rsidRDefault="00F8223C" w:rsidP="009E4339">
    <w:pPr>
      <w:jc w:val="center"/>
    </w:pPr>
    <w:r>
      <w:rPr>
        <w:noProof/>
        <w:lang w:val="it-IT" w:eastAsia="it-IT"/>
      </w:rPr>
      <w:drawing>
        <wp:inline distT="0" distB="0" distL="0" distR="0" wp14:anchorId="208183AA" wp14:editId="23A4D7B8">
          <wp:extent cx="771525" cy="619125"/>
          <wp:effectExtent l="0" t="0" r="9525" b="9525"/>
          <wp:docPr id="42" name="Picture 4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8223C" w:rsidRPr="00DB40B4" w:rsidRDefault="00F8223C" w:rsidP="009E4339">
    <w:pPr>
      <w:pStyle w:val="Pidipagin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3C" w:rsidRDefault="00F8223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3C" w:rsidRPr="000B7195" w:rsidRDefault="00F8223C" w:rsidP="009E43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23C" w:rsidRPr="00DB40B4" w:rsidRDefault="00F8223C" w:rsidP="009E4339">
      <w:r w:rsidRPr="00DB40B4">
        <w:separator/>
      </w:r>
    </w:p>
  </w:footnote>
  <w:footnote w:type="continuationSeparator" w:id="0">
    <w:p w:rsidR="00F8223C" w:rsidRPr="00DB40B4" w:rsidRDefault="00F8223C" w:rsidP="009E4339">
      <w:r w:rsidRPr="00DB40B4">
        <w:continuationSeparator/>
      </w:r>
    </w:p>
  </w:footnote>
  <w:footnote w:id="1">
    <w:p w:rsidR="00F8223C" w:rsidRPr="00A22191" w:rsidRDefault="00F8223C" w:rsidP="009C7C1B">
      <w:pPr>
        <w:pStyle w:val="Testonotaapidipagina"/>
        <w:rPr>
          <w:lang w:val="fr-FR"/>
        </w:rPr>
      </w:pPr>
      <w:r w:rsidRPr="00825C2A">
        <w:footnoteRef/>
      </w:r>
      <w:r w:rsidRPr="00B23C8F">
        <w:rPr>
          <w:lang w:val="fr-FR"/>
        </w:rPr>
        <w:t>.  </w:t>
      </w:r>
      <w:r>
        <w:rPr>
          <w:lang w:val="fr-FR"/>
        </w:rPr>
        <w:t xml:space="preserve">La loge maçonnique « P2 » fut interdite en janvier 1982, à la suite de la loi n° 17/1982 ; à son apogée, elle était constituée d’un </w:t>
      </w:r>
      <w:r w:rsidRPr="000215DF">
        <w:rPr>
          <w:lang w:val="fr-FR"/>
        </w:rPr>
        <w:t>influent réseau d</w:t>
      </w:r>
      <w:r>
        <w:rPr>
          <w:lang w:val="fr-FR"/>
        </w:rPr>
        <w:t>’</w:t>
      </w:r>
      <w:r w:rsidRPr="000215DF">
        <w:rPr>
          <w:lang w:val="fr-FR"/>
        </w:rPr>
        <w:t>hommes politiques</w:t>
      </w:r>
      <w:r>
        <w:rPr>
          <w:lang w:val="fr-FR"/>
        </w:rPr>
        <w:t>, de magistrats, d’hommes d’affaires et</w:t>
      </w:r>
      <w:r w:rsidRPr="000215DF">
        <w:rPr>
          <w:lang w:val="fr-FR"/>
        </w:rPr>
        <w:t xml:space="preserve"> de militaires</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3C" w:rsidRPr="00A45145" w:rsidRDefault="00F8223C" w:rsidP="009E4339">
    <w:pPr>
      <w:jc w:val="center"/>
    </w:pPr>
    <w:r>
      <w:rPr>
        <w:noProof/>
        <w:lang w:val="it-IT" w:eastAsia="it-IT"/>
      </w:rPr>
      <w:drawing>
        <wp:inline distT="0" distB="0" distL="0" distR="0" wp14:anchorId="180E43AE" wp14:editId="7647187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8223C" w:rsidRPr="00DB40B4" w:rsidRDefault="00F8223C" w:rsidP="009E4339">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3C" w:rsidRPr="00A45145" w:rsidRDefault="00F8223C" w:rsidP="009E4339">
    <w:pPr>
      <w:jc w:val="center"/>
    </w:pPr>
    <w:r>
      <w:rPr>
        <w:noProof/>
        <w:lang w:val="it-IT" w:eastAsia="it-IT"/>
      </w:rPr>
      <w:drawing>
        <wp:inline distT="0" distB="0" distL="0" distR="0" wp14:anchorId="05F461D9" wp14:editId="0B5A778F">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8223C" w:rsidRPr="00DB40B4" w:rsidRDefault="00F8223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3C" w:rsidRPr="007A49AD" w:rsidRDefault="00F8223C" w:rsidP="009E4339">
    <w:pPr>
      <w:pStyle w:val="ECHRHeader"/>
      <w:rPr>
        <w:lang w:val="fr-FR"/>
      </w:rPr>
    </w:pPr>
    <w:r>
      <w:rPr>
        <w:rStyle w:val="Numeropagina"/>
      </w:rPr>
      <w:fldChar w:fldCharType="begin"/>
    </w:r>
    <w:r w:rsidRPr="007A49AD">
      <w:rPr>
        <w:rStyle w:val="Numeropagina"/>
        <w:lang w:val="fr-FR"/>
      </w:rPr>
      <w:instrText xml:space="preserve"> PAGE </w:instrText>
    </w:r>
    <w:r>
      <w:rPr>
        <w:rStyle w:val="Numeropagina"/>
      </w:rPr>
      <w:fldChar w:fldCharType="separate"/>
    </w:r>
    <w:r w:rsidR="009E0E08">
      <w:rPr>
        <w:rStyle w:val="Numeropagina"/>
        <w:noProof/>
        <w:lang w:val="fr-FR"/>
      </w:rPr>
      <w:t>4</w:t>
    </w:r>
    <w:r>
      <w:rPr>
        <w:rStyle w:val="Numeropagina"/>
      </w:rPr>
      <w:fldChar w:fldCharType="end"/>
    </w:r>
    <w:r w:rsidRPr="007A49AD">
      <w:rPr>
        <w:lang w:val="fr-FR"/>
      </w:rPr>
      <w:tab/>
      <w:t xml:space="preserve">ARRÊT MAGOSSO ET BRINDANI </w:t>
    </w:r>
    <w:r>
      <w:rPr>
        <w:lang w:val="fr-FR"/>
      </w:rPr>
      <w:t>c</w:t>
    </w:r>
    <w:r w:rsidRPr="007A49AD">
      <w:rPr>
        <w:lang w:val="fr-FR"/>
      </w:rPr>
      <w:t xml:space="preserve">. ITALIE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3C" w:rsidRPr="007A49AD" w:rsidRDefault="00F8223C" w:rsidP="009E4339">
    <w:pPr>
      <w:pStyle w:val="ECHRHeader"/>
      <w:rPr>
        <w:lang w:val="fr-FR"/>
      </w:rPr>
    </w:pPr>
    <w:r>
      <w:tab/>
    </w:r>
    <w:r w:rsidRPr="007A49AD">
      <w:rPr>
        <w:lang w:val="fr-FR"/>
      </w:rPr>
      <w:t xml:space="preserve">ARRÊT MAGOSSO ET BRINDANI </w:t>
    </w:r>
    <w:r>
      <w:rPr>
        <w:lang w:val="fr-FR"/>
      </w:rPr>
      <w:t>c</w:t>
    </w:r>
    <w:r w:rsidRPr="007A49AD">
      <w:rPr>
        <w:lang w:val="fr-FR"/>
      </w:rPr>
      <w:t xml:space="preserve">. ITALIE </w:t>
    </w:r>
    <w:r w:rsidRPr="007A49AD">
      <w:rPr>
        <w:lang w:val="fr-FR"/>
      </w:rPr>
      <w:tab/>
    </w:r>
    <w:r>
      <w:rPr>
        <w:rStyle w:val="Numeropagina"/>
      </w:rPr>
      <w:fldChar w:fldCharType="begin"/>
    </w:r>
    <w:r w:rsidRPr="007A49AD">
      <w:rPr>
        <w:rStyle w:val="Numeropagina"/>
        <w:lang w:val="fr-FR"/>
      </w:rPr>
      <w:instrText xml:space="preserve"> PAGE </w:instrText>
    </w:r>
    <w:r>
      <w:rPr>
        <w:rStyle w:val="Numeropagina"/>
      </w:rPr>
      <w:fldChar w:fldCharType="separate"/>
    </w:r>
    <w:r w:rsidR="00417711">
      <w:rPr>
        <w:rStyle w:val="Numeropagina"/>
        <w:noProof/>
        <w:lang w:val="fr-FR"/>
      </w:rPr>
      <w:t>1</w:t>
    </w:r>
    <w:r>
      <w:rPr>
        <w:rStyle w:val="Numeropa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FD1241"/>
    <w:multiLevelType w:val="hybridMultilevel"/>
    <w:tmpl w:val="F6D86CC2"/>
    <w:lvl w:ilvl="0" w:tplc="CF628FBA">
      <w:start w:val="1"/>
      <w:numFmt w:val="bullet"/>
      <w:pStyle w:val="Puntoelenco"/>
      <w:lvlText w:val=""/>
      <w:lvlJc w:val="left"/>
      <w:pPr>
        <w:tabs>
          <w:tab w:val="num" w:pos="851"/>
        </w:tabs>
        <w:ind w:left="568" w:firstLine="0"/>
      </w:pPr>
      <w:rPr>
        <w:rFonts w:ascii="Wingdings" w:hAnsi="Wingdings" w:hint="default"/>
        <w:color w:val="808080"/>
        <w:sz w:val="16"/>
      </w:rPr>
    </w:lvl>
    <w:lvl w:ilvl="1" w:tplc="51080B70" w:tentative="1">
      <w:start w:val="1"/>
      <w:numFmt w:val="bullet"/>
      <w:lvlText w:val="o"/>
      <w:lvlJc w:val="left"/>
      <w:pPr>
        <w:tabs>
          <w:tab w:val="num" w:pos="1724"/>
        </w:tabs>
        <w:ind w:left="1724" w:hanging="360"/>
      </w:pPr>
      <w:rPr>
        <w:rFonts w:ascii="Courier New" w:hAnsi="Courier New" w:cs="Courier New" w:hint="default"/>
      </w:rPr>
    </w:lvl>
    <w:lvl w:ilvl="2" w:tplc="06CAC2AC" w:tentative="1">
      <w:start w:val="1"/>
      <w:numFmt w:val="bullet"/>
      <w:lvlText w:val=""/>
      <w:lvlJc w:val="left"/>
      <w:pPr>
        <w:tabs>
          <w:tab w:val="num" w:pos="2444"/>
        </w:tabs>
        <w:ind w:left="2444" w:hanging="360"/>
      </w:pPr>
      <w:rPr>
        <w:rFonts w:ascii="Wingdings" w:hAnsi="Wingdings" w:hint="default"/>
      </w:rPr>
    </w:lvl>
    <w:lvl w:ilvl="3" w:tplc="DC3210E6" w:tentative="1">
      <w:start w:val="1"/>
      <w:numFmt w:val="bullet"/>
      <w:lvlText w:val=""/>
      <w:lvlJc w:val="left"/>
      <w:pPr>
        <w:tabs>
          <w:tab w:val="num" w:pos="3164"/>
        </w:tabs>
        <w:ind w:left="3164" w:hanging="360"/>
      </w:pPr>
      <w:rPr>
        <w:rFonts w:ascii="Symbol" w:hAnsi="Symbol" w:hint="default"/>
      </w:rPr>
    </w:lvl>
    <w:lvl w:ilvl="4" w:tplc="89DAFF9C" w:tentative="1">
      <w:start w:val="1"/>
      <w:numFmt w:val="bullet"/>
      <w:lvlText w:val="o"/>
      <w:lvlJc w:val="left"/>
      <w:pPr>
        <w:tabs>
          <w:tab w:val="num" w:pos="3884"/>
        </w:tabs>
        <w:ind w:left="3884" w:hanging="360"/>
      </w:pPr>
      <w:rPr>
        <w:rFonts w:ascii="Courier New" w:hAnsi="Courier New" w:cs="Courier New" w:hint="default"/>
      </w:rPr>
    </w:lvl>
    <w:lvl w:ilvl="5" w:tplc="9F6A44EE" w:tentative="1">
      <w:start w:val="1"/>
      <w:numFmt w:val="bullet"/>
      <w:lvlText w:val=""/>
      <w:lvlJc w:val="left"/>
      <w:pPr>
        <w:tabs>
          <w:tab w:val="num" w:pos="4604"/>
        </w:tabs>
        <w:ind w:left="4604" w:hanging="360"/>
      </w:pPr>
      <w:rPr>
        <w:rFonts w:ascii="Wingdings" w:hAnsi="Wingdings" w:hint="default"/>
      </w:rPr>
    </w:lvl>
    <w:lvl w:ilvl="6" w:tplc="D188EBF2" w:tentative="1">
      <w:start w:val="1"/>
      <w:numFmt w:val="bullet"/>
      <w:lvlText w:val=""/>
      <w:lvlJc w:val="left"/>
      <w:pPr>
        <w:tabs>
          <w:tab w:val="num" w:pos="5324"/>
        </w:tabs>
        <w:ind w:left="5324" w:hanging="360"/>
      </w:pPr>
      <w:rPr>
        <w:rFonts w:ascii="Symbol" w:hAnsi="Symbol" w:hint="default"/>
      </w:rPr>
    </w:lvl>
    <w:lvl w:ilvl="7" w:tplc="4B963160" w:tentative="1">
      <w:start w:val="1"/>
      <w:numFmt w:val="bullet"/>
      <w:lvlText w:val="o"/>
      <w:lvlJc w:val="left"/>
      <w:pPr>
        <w:tabs>
          <w:tab w:val="num" w:pos="6044"/>
        </w:tabs>
        <w:ind w:left="6044" w:hanging="360"/>
      </w:pPr>
      <w:rPr>
        <w:rFonts w:ascii="Courier New" w:hAnsi="Courier New" w:cs="Courier New" w:hint="default"/>
      </w:rPr>
    </w:lvl>
    <w:lvl w:ilvl="8" w:tplc="B580A780"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3"/>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17"/>
  </w:num>
  <w:num w:numId="7">
    <w:abstractNumId w:val="10"/>
  </w:num>
  <w:num w:numId="8">
    <w:abstractNumId w:val="6"/>
  </w:num>
  <w:num w:numId="9">
    <w:abstractNumId w:val="15"/>
  </w:num>
  <w:num w:numId="10">
    <w:abstractNumId w:val="14"/>
  </w:num>
  <w:num w:numId="11">
    <w:abstractNumId w:val="12"/>
  </w:num>
  <w:num w:numId="12">
    <w:abstractNumId w:val="11"/>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9"/>
  </w:num>
  <w:num w:numId="23">
    <w:abstractNumId w:val="16"/>
  </w:num>
  <w:num w:numId="24">
    <w:abstractNumId w:val="16"/>
  </w:num>
  <w:num w:numId="25">
    <w:abstractNumId w:val="16"/>
  </w:num>
  <w:num w:numId="26">
    <w:abstractNumId w:val="16"/>
  </w:num>
  <w:num w:numId="27">
    <w:abstractNumId w:val="1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9C7C1B"/>
    <w:rsid w:val="00150EAC"/>
    <w:rsid w:val="00156729"/>
    <w:rsid w:val="001612B7"/>
    <w:rsid w:val="001A6B0C"/>
    <w:rsid w:val="001F119B"/>
    <w:rsid w:val="002A2BB2"/>
    <w:rsid w:val="002E3AEC"/>
    <w:rsid w:val="00334BFD"/>
    <w:rsid w:val="00403FA4"/>
    <w:rsid w:val="00417711"/>
    <w:rsid w:val="00475200"/>
    <w:rsid w:val="00547158"/>
    <w:rsid w:val="0055090B"/>
    <w:rsid w:val="005B64AE"/>
    <w:rsid w:val="00786DDB"/>
    <w:rsid w:val="007A49AD"/>
    <w:rsid w:val="00825C2A"/>
    <w:rsid w:val="00880D6F"/>
    <w:rsid w:val="008C1387"/>
    <w:rsid w:val="0091001E"/>
    <w:rsid w:val="009763C4"/>
    <w:rsid w:val="009C7C1B"/>
    <w:rsid w:val="009E0E08"/>
    <w:rsid w:val="009E4339"/>
    <w:rsid w:val="00A126FE"/>
    <w:rsid w:val="00B23C8F"/>
    <w:rsid w:val="00BF20CF"/>
    <w:rsid w:val="00CE67FC"/>
    <w:rsid w:val="00D61679"/>
    <w:rsid w:val="00DB40B4"/>
    <w:rsid w:val="00F17ABF"/>
    <w:rsid w:val="00F822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F8223C"/>
    <w:pPr>
      <w:jc w:val="both"/>
    </w:pPr>
    <w:rPr>
      <w:rFonts w:eastAsiaTheme="minorEastAsia"/>
      <w:sz w:val="24"/>
      <w:lang w:val="en-GB"/>
    </w:rPr>
  </w:style>
  <w:style w:type="paragraph" w:styleId="Titolo1">
    <w:name w:val="heading 1"/>
    <w:basedOn w:val="Normale"/>
    <w:next w:val="Normale"/>
    <w:link w:val="Titolo1Carattere"/>
    <w:uiPriority w:val="99"/>
    <w:semiHidden/>
    <w:rsid w:val="00F8223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F8223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F8223C"/>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F8223C"/>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F8223C"/>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F8223C"/>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F8223C"/>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F8223C"/>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F8223C"/>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F822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223C"/>
    <w:rPr>
      <w:rFonts w:ascii="Tahoma" w:eastAsiaTheme="minorEastAsia" w:hAnsi="Tahoma" w:cs="Tahoma"/>
      <w:sz w:val="16"/>
      <w:szCs w:val="16"/>
      <w:lang w:val="en-GB"/>
    </w:rPr>
  </w:style>
  <w:style w:type="character" w:styleId="Titolodellibro">
    <w:name w:val="Book Title"/>
    <w:uiPriority w:val="99"/>
    <w:semiHidden/>
    <w:qFormat/>
    <w:rsid w:val="00F8223C"/>
    <w:rPr>
      <w:i/>
      <w:iCs/>
      <w:smallCaps/>
      <w:spacing w:val="5"/>
    </w:rPr>
  </w:style>
  <w:style w:type="paragraph" w:customStyle="1" w:styleId="ECHRHeader">
    <w:name w:val="ECHR_Header"/>
    <w:aliases w:val="Ju_Header"/>
    <w:basedOn w:val="Intestazione"/>
    <w:uiPriority w:val="4"/>
    <w:qFormat/>
    <w:rsid w:val="00F8223C"/>
    <w:pPr>
      <w:tabs>
        <w:tab w:val="clear" w:pos="4536"/>
        <w:tab w:val="clear" w:pos="9072"/>
        <w:tab w:val="center" w:pos="3686"/>
        <w:tab w:val="right" w:pos="7371"/>
      </w:tabs>
      <w:jc w:val="left"/>
    </w:pPr>
    <w:rPr>
      <w:sz w:val="18"/>
    </w:rPr>
  </w:style>
  <w:style w:type="paragraph" w:customStyle="1" w:styleId="DummyStyle">
    <w:name w:val="Dummy_Style"/>
    <w:basedOn w:val="Normale"/>
    <w:semiHidden/>
    <w:qFormat/>
    <w:rsid w:val="00F8223C"/>
    <w:rPr>
      <w:color w:val="00B050"/>
    </w:rPr>
  </w:style>
  <w:style w:type="character" w:styleId="Enfasigrassetto">
    <w:name w:val="Strong"/>
    <w:uiPriority w:val="99"/>
    <w:semiHidden/>
    <w:qFormat/>
    <w:rsid w:val="00F8223C"/>
    <w:rPr>
      <w:b/>
      <w:bCs/>
    </w:rPr>
  </w:style>
  <w:style w:type="paragraph" w:styleId="Nessunaspaziatura">
    <w:name w:val="No Spacing"/>
    <w:basedOn w:val="Normale"/>
    <w:link w:val="NessunaspaziaturaCarattere"/>
    <w:semiHidden/>
    <w:qFormat/>
    <w:rsid w:val="00F8223C"/>
    <w:rPr>
      <w:sz w:val="22"/>
      <w:lang w:val="en-US"/>
    </w:rPr>
  </w:style>
  <w:style w:type="character" w:customStyle="1" w:styleId="NessunaspaziaturaCarattere">
    <w:name w:val="Nessuna spaziatura Carattere"/>
    <w:basedOn w:val="Carpredefinitoparagrafo"/>
    <w:link w:val="Nessunaspaziatura"/>
    <w:semiHidden/>
    <w:rsid w:val="00F8223C"/>
    <w:rPr>
      <w:rFonts w:eastAsiaTheme="minorEastAsia"/>
    </w:rPr>
  </w:style>
  <w:style w:type="paragraph" w:customStyle="1" w:styleId="ECHRParaQuote">
    <w:name w:val="ECHR_Para_Quote"/>
    <w:aliases w:val="Ju_Quot"/>
    <w:basedOn w:val="Normale"/>
    <w:uiPriority w:val="14"/>
    <w:qFormat/>
    <w:rsid w:val="00F8223C"/>
    <w:pPr>
      <w:spacing w:before="120" w:after="120"/>
      <w:ind w:left="425" w:firstLine="142"/>
    </w:pPr>
    <w:rPr>
      <w:sz w:val="20"/>
    </w:rPr>
  </w:style>
  <w:style w:type="paragraph" w:customStyle="1" w:styleId="JuParaSub">
    <w:name w:val="Ju_Para_Sub"/>
    <w:basedOn w:val="ECHRPara"/>
    <w:uiPriority w:val="13"/>
    <w:qFormat/>
    <w:rsid w:val="00F8223C"/>
    <w:pPr>
      <w:ind w:left="284"/>
    </w:pPr>
  </w:style>
  <w:style w:type="paragraph" w:customStyle="1" w:styleId="OpiH1">
    <w:name w:val="Opi_H_1"/>
    <w:basedOn w:val="ECHRHeading2"/>
    <w:uiPriority w:val="42"/>
    <w:qFormat/>
    <w:rsid w:val="00F8223C"/>
    <w:pPr>
      <w:ind w:left="635" w:hanging="357"/>
      <w:outlineLvl w:val="2"/>
    </w:pPr>
  </w:style>
  <w:style w:type="paragraph" w:customStyle="1" w:styleId="OpiHa">
    <w:name w:val="Opi_H_a"/>
    <w:basedOn w:val="ECHRHeading3"/>
    <w:uiPriority w:val="43"/>
    <w:qFormat/>
    <w:rsid w:val="00F8223C"/>
    <w:pPr>
      <w:ind w:left="833" w:hanging="357"/>
      <w:outlineLvl w:val="3"/>
    </w:pPr>
    <w:rPr>
      <w:b/>
      <w:i w:val="0"/>
      <w:sz w:val="20"/>
    </w:rPr>
  </w:style>
  <w:style w:type="paragraph" w:customStyle="1" w:styleId="OpiHA0">
    <w:name w:val="Opi_H_A"/>
    <w:basedOn w:val="ECHRHeading1"/>
    <w:next w:val="OpiPara"/>
    <w:uiPriority w:val="41"/>
    <w:qFormat/>
    <w:rsid w:val="00F8223C"/>
    <w:pPr>
      <w:tabs>
        <w:tab w:val="clear" w:pos="357"/>
      </w:tabs>
      <w:outlineLvl w:val="1"/>
    </w:pPr>
    <w:rPr>
      <w:b/>
    </w:rPr>
  </w:style>
  <w:style w:type="paragraph" w:customStyle="1" w:styleId="ECHRTitleCentre3">
    <w:name w:val="ECHR_Title_Centre_3"/>
    <w:aliases w:val="Ju_H_Article"/>
    <w:basedOn w:val="Normale"/>
    <w:next w:val="ECHRParaQuote"/>
    <w:uiPriority w:val="27"/>
    <w:qFormat/>
    <w:rsid w:val="00F8223C"/>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F8223C"/>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F8223C"/>
    <w:pPr>
      <w:ind w:left="567"/>
    </w:pPr>
  </w:style>
  <w:style w:type="paragraph" w:customStyle="1" w:styleId="ECHRTitle1">
    <w:name w:val="ECHR_Title_1"/>
    <w:aliases w:val="Ju_H_Head"/>
    <w:basedOn w:val="Normale"/>
    <w:next w:val="ECHRPara"/>
    <w:uiPriority w:val="18"/>
    <w:qFormat/>
    <w:rsid w:val="00F8223C"/>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F8223C"/>
    <w:pPr>
      <w:tabs>
        <w:tab w:val="center" w:pos="6407"/>
      </w:tabs>
      <w:spacing w:before="720"/>
      <w:jc w:val="right"/>
    </w:pPr>
  </w:style>
  <w:style w:type="paragraph" w:customStyle="1" w:styleId="JuSigned">
    <w:name w:val="Ju_Signed"/>
    <w:basedOn w:val="Normale"/>
    <w:next w:val="JuParaLast"/>
    <w:uiPriority w:val="32"/>
    <w:qFormat/>
    <w:rsid w:val="00F8223C"/>
    <w:pPr>
      <w:tabs>
        <w:tab w:val="center" w:pos="851"/>
        <w:tab w:val="center" w:pos="6407"/>
      </w:tabs>
      <w:spacing w:before="720"/>
      <w:jc w:val="left"/>
    </w:pPr>
  </w:style>
  <w:style w:type="paragraph" w:styleId="Titolo">
    <w:name w:val="Title"/>
    <w:basedOn w:val="Normale"/>
    <w:next w:val="Normale"/>
    <w:link w:val="TitoloCarattere"/>
    <w:uiPriority w:val="99"/>
    <w:semiHidden/>
    <w:qFormat/>
    <w:rsid w:val="00F8223C"/>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F8223C"/>
    <w:rPr>
      <w:rFonts w:asciiTheme="majorHAnsi" w:eastAsiaTheme="majorEastAsia" w:hAnsiTheme="majorHAnsi" w:cstheme="majorBidi"/>
      <w:spacing w:val="5"/>
      <w:sz w:val="52"/>
      <w:szCs w:val="52"/>
      <w:lang w:bidi="en-US"/>
    </w:rPr>
  </w:style>
  <w:style w:type="paragraph" w:customStyle="1" w:styleId="OpiHi">
    <w:name w:val="Opi_H_i"/>
    <w:basedOn w:val="ECHRHeading4"/>
    <w:uiPriority w:val="44"/>
    <w:qFormat/>
    <w:rsid w:val="00F8223C"/>
    <w:pPr>
      <w:ind w:left="1037" w:hanging="357"/>
      <w:outlineLvl w:val="4"/>
    </w:pPr>
    <w:rPr>
      <w:b w:val="0"/>
      <w:i/>
    </w:rPr>
  </w:style>
  <w:style w:type="character" w:customStyle="1" w:styleId="JUNAMES">
    <w:name w:val="JU_NAMES"/>
    <w:uiPriority w:val="17"/>
    <w:qFormat/>
    <w:rsid w:val="00F8223C"/>
    <w:rPr>
      <w:caps w:val="0"/>
      <w:smallCaps/>
    </w:rPr>
  </w:style>
  <w:style w:type="character" w:customStyle="1" w:styleId="JuITMark">
    <w:name w:val="Ju_ITMark"/>
    <w:basedOn w:val="Carpredefinitoparagrafo"/>
    <w:uiPriority w:val="38"/>
    <w:qFormat/>
    <w:rsid w:val="00F8223C"/>
    <w:rPr>
      <w:vanish w:val="0"/>
      <w:color w:val="auto"/>
      <w:sz w:val="14"/>
      <w:bdr w:val="none" w:sz="0" w:space="0" w:color="auto"/>
      <w:shd w:val="clear" w:color="auto" w:fill="BEE5FF" w:themeFill="background1" w:themeFillTint="33"/>
    </w:rPr>
  </w:style>
  <w:style w:type="paragraph" w:customStyle="1" w:styleId="OpiPara">
    <w:name w:val="Opi_Para"/>
    <w:basedOn w:val="ECHRPara"/>
    <w:uiPriority w:val="46"/>
    <w:qFormat/>
    <w:rsid w:val="00F8223C"/>
  </w:style>
  <w:style w:type="paragraph" w:customStyle="1" w:styleId="JuCourt">
    <w:name w:val="Ju_Court"/>
    <w:basedOn w:val="Normale"/>
    <w:next w:val="Normale"/>
    <w:uiPriority w:val="16"/>
    <w:qFormat/>
    <w:rsid w:val="00F8223C"/>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F8223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F8223C"/>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F8223C"/>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F8223C"/>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F8223C"/>
    <w:rPr>
      <w:sz w:val="24"/>
      <w:lang w:val="en-GB"/>
    </w:rPr>
  </w:style>
  <w:style w:type="character" w:customStyle="1" w:styleId="Titolo1Carattere">
    <w:name w:val="Titolo 1 Carattere"/>
    <w:basedOn w:val="Carpredefinitoparagrafo"/>
    <w:link w:val="Titolo1"/>
    <w:uiPriority w:val="99"/>
    <w:semiHidden/>
    <w:rsid w:val="00F8223C"/>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F8223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F8223C"/>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F8223C"/>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F8223C"/>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F8223C"/>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F8223C"/>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F8223C"/>
    <w:pPr>
      <w:keepNext/>
      <w:keepLines/>
      <w:spacing w:before="240"/>
      <w:ind w:firstLine="284"/>
    </w:pPr>
  </w:style>
  <w:style w:type="paragraph" w:customStyle="1" w:styleId="ECHRDecisionBody">
    <w:name w:val="ECHR_Decision_Body"/>
    <w:aliases w:val="Ju_Judges"/>
    <w:basedOn w:val="Normale"/>
    <w:uiPriority w:val="11"/>
    <w:qFormat/>
    <w:rsid w:val="00F8223C"/>
    <w:pPr>
      <w:tabs>
        <w:tab w:val="left" w:pos="567"/>
        <w:tab w:val="left" w:pos="1134"/>
      </w:tabs>
      <w:jc w:val="left"/>
    </w:pPr>
  </w:style>
  <w:style w:type="character" w:customStyle="1" w:styleId="Titolo4Carattere">
    <w:name w:val="Titolo 4 Carattere"/>
    <w:basedOn w:val="Carpredefinitoparagrafo"/>
    <w:link w:val="Titolo4"/>
    <w:uiPriority w:val="99"/>
    <w:semiHidden/>
    <w:rsid w:val="00F8223C"/>
    <w:rPr>
      <w:rFonts w:asciiTheme="majorHAnsi" w:eastAsiaTheme="majorEastAsia" w:hAnsiTheme="majorHAnsi" w:cstheme="majorBidi"/>
      <w:b/>
      <w:bCs/>
      <w:i/>
      <w:iCs/>
      <w:color w:val="777777"/>
      <w:sz w:val="24"/>
      <w:lang w:val="en-GB"/>
    </w:rPr>
  </w:style>
  <w:style w:type="paragraph" w:customStyle="1" w:styleId="JuList">
    <w:name w:val="Ju_List"/>
    <w:basedOn w:val="Normale"/>
    <w:uiPriority w:val="28"/>
    <w:qFormat/>
    <w:rsid w:val="00F8223C"/>
    <w:pPr>
      <w:ind w:left="340" w:hanging="340"/>
    </w:pPr>
  </w:style>
  <w:style w:type="character" w:customStyle="1" w:styleId="Titolo5Carattere">
    <w:name w:val="Titolo 5 Carattere"/>
    <w:basedOn w:val="Carpredefinitoparagrafo"/>
    <w:link w:val="Titolo5"/>
    <w:uiPriority w:val="99"/>
    <w:semiHidden/>
    <w:rsid w:val="00F8223C"/>
    <w:rPr>
      <w:rFonts w:asciiTheme="majorHAnsi" w:eastAsiaTheme="majorEastAsia" w:hAnsiTheme="majorHAnsi" w:cstheme="majorBidi"/>
      <w:b/>
      <w:bCs/>
      <w:color w:val="808080"/>
    </w:rPr>
  </w:style>
  <w:style w:type="paragraph" w:customStyle="1" w:styleId="JuLista">
    <w:name w:val="Ju_List_a"/>
    <w:basedOn w:val="JuList"/>
    <w:uiPriority w:val="28"/>
    <w:qFormat/>
    <w:rsid w:val="00F8223C"/>
    <w:pPr>
      <w:ind w:left="346" w:firstLine="0"/>
    </w:pPr>
  </w:style>
  <w:style w:type="paragraph" w:customStyle="1" w:styleId="JuListi">
    <w:name w:val="Ju_List_i"/>
    <w:basedOn w:val="Normale"/>
    <w:next w:val="JuLista"/>
    <w:uiPriority w:val="28"/>
    <w:qFormat/>
    <w:rsid w:val="00F8223C"/>
    <w:pPr>
      <w:ind w:left="794"/>
    </w:pPr>
  </w:style>
  <w:style w:type="character" w:styleId="Enfasidelicata">
    <w:name w:val="Subtle Emphasis"/>
    <w:uiPriority w:val="99"/>
    <w:semiHidden/>
    <w:qFormat/>
    <w:rsid w:val="00F8223C"/>
    <w:rPr>
      <w:i/>
      <w:iCs/>
    </w:rPr>
  </w:style>
  <w:style w:type="paragraph" w:customStyle="1" w:styleId="OpiParaSub">
    <w:name w:val="Opi_Para_Sub"/>
    <w:basedOn w:val="JuParaSub"/>
    <w:uiPriority w:val="47"/>
    <w:qFormat/>
    <w:rsid w:val="00F8223C"/>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Quot">
    <w:name w:val="Opi_Quot"/>
    <w:basedOn w:val="ECHRParaQuote"/>
    <w:uiPriority w:val="48"/>
    <w:qFormat/>
    <w:rsid w:val="00F8223C"/>
  </w:style>
  <w:style w:type="paragraph" w:customStyle="1" w:styleId="OpiQuotSub">
    <w:name w:val="Opi_Quot_Sub"/>
    <w:basedOn w:val="JuQuotSub"/>
    <w:uiPriority w:val="49"/>
    <w:qFormat/>
    <w:rsid w:val="00F8223C"/>
  </w:style>
  <w:style w:type="paragraph" w:customStyle="1" w:styleId="OpiTranslation">
    <w:name w:val="Opi_Translation"/>
    <w:basedOn w:val="Normale"/>
    <w:next w:val="OpiPara"/>
    <w:uiPriority w:val="40"/>
    <w:qFormat/>
    <w:rsid w:val="00F8223C"/>
    <w:pPr>
      <w:jc w:val="center"/>
      <w:outlineLvl w:val="0"/>
    </w:pPr>
    <w:rPr>
      <w:i/>
    </w:rPr>
  </w:style>
  <w:style w:type="character" w:styleId="Enfasicorsivo">
    <w:name w:val="Emphasis"/>
    <w:uiPriority w:val="99"/>
    <w:semiHidden/>
    <w:qFormat/>
    <w:rsid w:val="00F8223C"/>
    <w:rPr>
      <w:b/>
      <w:bCs/>
      <w:i/>
      <w:iCs/>
      <w:spacing w:val="10"/>
      <w:bdr w:val="none" w:sz="0" w:space="0" w:color="auto"/>
      <w:shd w:val="clear" w:color="auto" w:fill="auto"/>
    </w:rPr>
  </w:style>
  <w:style w:type="paragraph" w:styleId="Pidipagina">
    <w:name w:val="footer"/>
    <w:basedOn w:val="Normale"/>
    <w:link w:val="PidipaginaCarattere"/>
    <w:uiPriority w:val="57"/>
    <w:semiHidden/>
    <w:rsid w:val="00F8223C"/>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F8223C"/>
    <w:rPr>
      <w:sz w:val="24"/>
      <w:lang w:val="en-GB"/>
    </w:rPr>
  </w:style>
  <w:style w:type="character" w:styleId="Rimandonotaapidipagina">
    <w:name w:val="footnote reference"/>
    <w:basedOn w:val="Carpredefinitoparagrafo"/>
    <w:uiPriority w:val="99"/>
    <w:semiHidden/>
    <w:rsid w:val="00F8223C"/>
    <w:rPr>
      <w:vertAlign w:val="superscript"/>
    </w:rPr>
  </w:style>
  <w:style w:type="paragraph" w:styleId="Testonotaapidipagina">
    <w:name w:val="footnote text"/>
    <w:basedOn w:val="Normale"/>
    <w:link w:val="TestonotaapidipaginaCarattere"/>
    <w:uiPriority w:val="99"/>
    <w:semiHidden/>
    <w:rsid w:val="00F8223C"/>
    <w:rPr>
      <w:sz w:val="20"/>
      <w:szCs w:val="20"/>
    </w:rPr>
  </w:style>
  <w:style w:type="character" w:customStyle="1" w:styleId="TestonotaapidipaginaCarattere">
    <w:name w:val="Testo nota a piè di pagina Carattere"/>
    <w:basedOn w:val="Carpredefinitoparagrafo"/>
    <w:link w:val="Testonotaapidipagina"/>
    <w:uiPriority w:val="99"/>
    <w:semiHidden/>
    <w:rsid w:val="00F8223C"/>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F8223C"/>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F8223C"/>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F8223C"/>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F8223C"/>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F8223C"/>
    <w:rPr>
      <w:color w:val="0072BC" w:themeColor="hyperlink"/>
      <w:u w:val="single"/>
    </w:rPr>
  </w:style>
  <w:style w:type="character" w:styleId="Enfasiintensa">
    <w:name w:val="Intense Emphasis"/>
    <w:uiPriority w:val="99"/>
    <w:semiHidden/>
    <w:qFormat/>
    <w:rsid w:val="00F8223C"/>
    <w:rPr>
      <w:b/>
      <w:bCs/>
    </w:rPr>
  </w:style>
  <w:style w:type="paragraph" w:styleId="Citazioneintensa">
    <w:name w:val="Intense Quote"/>
    <w:basedOn w:val="Normale"/>
    <w:next w:val="Normale"/>
    <w:link w:val="CitazioneintensaCarattere"/>
    <w:uiPriority w:val="99"/>
    <w:semiHidden/>
    <w:qFormat/>
    <w:rsid w:val="00F8223C"/>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F8223C"/>
    <w:rPr>
      <w:rFonts w:eastAsiaTheme="minorEastAsia"/>
      <w:b/>
      <w:bCs/>
      <w:i/>
      <w:iCs/>
      <w:lang w:bidi="en-US"/>
    </w:rPr>
  </w:style>
  <w:style w:type="character" w:styleId="Riferimentointenso">
    <w:name w:val="Intense Reference"/>
    <w:uiPriority w:val="99"/>
    <w:semiHidden/>
    <w:qFormat/>
    <w:rsid w:val="00F8223C"/>
    <w:rPr>
      <w:smallCaps/>
      <w:spacing w:val="5"/>
      <w:u w:val="single"/>
    </w:rPr>
  </w:style>
  <w:style w:type="paragraph" w:styleId="Paragrafoelenco">
    <w:name w:val="List Paragraph"/>
    <w:basedOn w:val="Normale"/>
    <w:uiPriority w:val="99"/>
    <w:semiHidden/>
    <w:qFormat/>
    <w:rsid w:val="00F8223C"/>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F8223C"/>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F8223C"/>
    <w:rPr>
      <w:rFonts w:eastAsiaTheme="minorEastAsia"/>
      <w:i/>
      <w:iCs/>
      <w:lang w:bidi="en-US"/>
    </w:rPr>
  </w:style>
  <w:style w:type="character" w:styleId="Riferimentodelicato">
    <w:name w:val="Subtle Reference"/>
    <w:uiPriority w:val="99"/>
    <w:semiHidden/>
    <w:qFormat/>
    <w:rsid w:val="00F8223C"/>
    <w:rPr>
      <w:smallCaps/>
    </w:rPr>
  </w:style>
  <w:style w:type="table" w:styleId="Grigliatabella">
    <w:name w:val="Table Grid"/>
    <w:basedOn w:val="Tabellanormale"/>
    <w:uiPriority w:val="59"/>
    <w:semiHidden/>
    <w:rsid w:val="00F8223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F8223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F8223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F8223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F8223C"/>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F8223C"/>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F8223C"/>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F8223C"/>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ttotitolo">
    <w:name w:val="Subtitle"/>
    <w:basedOn w:val="Normale"/>
    <w:next w:val="Normale"/>
    <w:link w:val="SottotitoloCarattere"/>
    <w:uiPriority w:val="99"/>
    <w:semiHidden/>
    <w:qFormat/>
    <w:rsid w:val="00F8223C"/>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F8223C"/>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unhideWhenUsed/>
    <w:rsid w:val="0098410D"/>
    <w:pPr>
      <w:numPr>
        <w:numId w:val="10"/>
      </w:numPr>
    </w:pPr>
  </w:style>
  <w:style w:type="paragraph" w:customStyle="1" w:styleId="ECHRPara">
    <w:name w:val="ECHR_Para"/>
    <w:aliases w:val="Ju_Para,Para"/>
    <w:basedOn w:val="Normale"/>
    <w:link w:val="ECHRParaChar"/>
    <w:uiPriority w:val="5"/>
    <w:qFormat/>
    <w:rsid w:val="00F8223C"/>
    <w:pPr>
      <w:ind w:firstLine="284"/>
    </w:pPr>
  </w:style>
  <w:style w:type="numbering" w:styleId="1ai">
    <w:name w:val="Outline List 1"/>
    <w:basedOn w:val="Nessunelenco"/>
    <w:uiPriority w:val="99"/>
    <w:semiHidden/>
    <w:unhideWhenUsed/>
    <w:rsid w:val="0098410D"/>
    <w:pPr>
      <w:numPr>
        <w:numId w:val="11"/>
      </w:numPr>
    </w:p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98410D"/>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8223C"/>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9"/>
    <w:semiHidden/>
    <w:rsid w:val="0098410D"/>
  </w:style>
  <w:style w:type="paragraph" w:styleId="Testodelblocco">
    <w:name w:val="Block Text"/>
    <w:basedOn w:val="Normale"/>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9"/>
    <w:semiHidden/>
    <w:rsid w:val="0098410D"/>
    <w:pPr>
      <w:spacing w:after="120"/>
    </w:pPr>
  </w:style>
  <w:style w:type="character" w:customStyle="1" w:styleId="CorpotestoCarattere">
    <w:name w:val="Corpo testo Carattere"/>
    <w:basedOn w:val="Carpredefinitoparagrafo"/>
    <w:link w:val="Corpotesto"/>
    <w:uiPriority w:val="99"/>
    <w:semiHidden/>
    <w:rsid w:val="0098410D"/>
    <w:rPr>
      <w:rFonts w:eastAsiaTheme="minorEastAsia"/>
      <w:sz w:val="24"/>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9"/>
    <w:semiHidden/>
    <w:rsid w:val="0098410D"/>
    <w:pPr>
      <w:spacing w:after="120" w:line="480" w:lineRule="auto"/>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e"/>
    <w:next w:val="ECHRPara"/>
    <w:uiPriority w:val="10"/>
    <w:rsid w:val="00F8223C"/>
    <w:pPr>
      <w:ind w:firstLine="284"/>
    </w:pPr>
    <w:rPr>
      <w:b/>
    </w:rPr>
  </w:style>
  <w:style w:type="character" w:styleId="Numeropagina">
    <w:name w:val="page number"/>
    <w:uiPriority w:val="99"/>
    <w:semiHidden/>
    <w:rsid w:val="0098410D"/>
    <w:rPr>
      <w:sz w:val="18"/>
    </w:rPr>
  </w:style>
  <w:style w:type="paragraph" w:styleId="Puntoelenco">
    <w:name w:val="List Bullet"/>
    <w:basedOn w:val="Normale"/>
    <w:uiPriority w:val="99"/>
    <w:semiHidden/>
    <w:rsid w:val="0098410D"/>
    <w:pPr>
      <w:numPr>
        <w:numId w:val="9"/>
      </w:numPr>
    </w:pPr>
  </w:style>
  <w:style w:type="paragraph" w:styleId="Puntoelenco3">
    <w:name w:val="List Bullet 3"/>
    <w:basedOn w:val="Normale"/>
    <w:uiPriority w:val="99"/>
    <w:semiHidden/>
    <w:rsid w:val="0098410D"/>
    <w:pPr>
      <w:numPr>
        <w:numId w:val="8"/>
      </w:numPr>
      <w:contextualSpacing/>
    </w:pPr>
  </w:style>
  <w:style w:type="character" w:customStyle="1" w:styleId="Corpodeltesto2Carattere">
    <w:name w:val="Corpo del testo 2 Carattere"/>
    <w:basedOn w:val="Carpredefinitoparagrafo"/>
    <w:link w:val="Corpodeltesto2"/>
    <w:uiPriority w:val="99"/>
    <w:semiHidden/>
    <w:rsid w:val="0098410D"/>
    <w:rPr>
      <w:rFonts w:eastAsiaTheme="minorEastAsia"/>
      <w:sz w:val="24"/>
    </w:rPr>
  </w:style>
  <w:style w:type="paragraph" w:styleId="Corpodeltesto3">
    <w:name w:val="Body Text 3"/>
    <w:basedOn w:val="Normale"/>
    <w:link w:val="Corpodeltesto3Carattere"/>
    <w:uiPriority w:val="99"/>
    <w:semiHidden/>
    <w:rsid w:val="0098410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8410D"/>
    <w:rPr>
      <w:rFonts w:eastAsiaTheme="minorEastAsia"/>
      <w:sz w:val="16"/>
      <w:szCs w:val="16"/>
    </w:rPr>
  </w:style>
  <w:style w:type="paragraph" w:styleId="Primorientrocorpodeltesto">
    <w:name w:val="Body Text First Indent"/>
    <w:basedOn w:val="Corpotesto"/>
    <w:link w:val="PrimorientrocorpodeltestoCarattere"/>
    <w:uiPriority w:val="99"/>
    <w:semiHidden/>
    <w:rsid w:val="0098410D"/>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8410D"/>
    <w:rPr>
      <w:rFonts w:eastAsiaTheme="minorEastAsia"/>
      <w:sz w:val="24"/>
    </w:rPr>
  </w:style>
  <w:style w:type="paragraph" w:styleId="Rientrocorpodeltesto">
    <w:name w:val="Body Text Indent"/>
    <w:basedOn w:val="Normale"/>
    <w:link w:val="RientrocorpodeltestoCarattere"/>
    <w:uiPriority w:val="99"/>
    <w:semiHidden/>
    <w:rsid w:val="0098410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8410D"/>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98410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8410D"/>
    <w:rPr>
      <w:rFonts w:eastAsiaTheme="minorEastAsia"/>
      <w:sz w:val="24"/>
    </w:rPr>
  </w:style>
  <w:style w:type="paragraph" w:styleId="Rientrocorpodeltesto2">
    <w:name w:val="Body Text Indent 2"/>
    <w:basedOn w:val="Normale"/>
    <w:link w:val="Rientrocorpodeltesto2Carattere"/>
    <w:uiPriority w:val="99"/>
    <w:semiHidden/>
    <w:rsid w:val="0098410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8410D"/>
    <w:rPr>
      <w:rFonts w:eastAsiaTheme="minorEastAsia"/>
      <w:sz w:val="24"/>
    </w:rPr>
  </w:style>
  <w:style w:type="paragraph" w:styleId="Rientrocorpodeltesto3">
    <w:name w:val="Body Text Indent 3"/>
    <w:basedOn w:val="Normale"/>
    <w:link w:val="Rientrocorpodeltesto3Carattere"/>
    <w:uiPriority w:val="99"/>
    <w:semiHidden/>
    <w:rsid w:val="0098410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8410D"/>
    <w:rPr>
      <w:rFonts w:eastAsiaTheme="minorEastAsia"/>
      <w:sz w:val="16"/>
      <w:szCs w:val="16"/>
    </w:rPr>
  </w:style>
  <w:style w:type="paragraph" w:styleId="Didascalia">
    <w:name w:val="caption"/>
    <w:basedOn w:val="Normale"/>
    <w:next w:val="Normale"/>
    <w:uiPriority w:val="99"/>
    <w:semiHidden/>
    <w:qFormat/>
    <w:rsid w:val="0098410D"/>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8410D"/>
    <w:pPr>
      <w:ind w:left="4252"/>
    </w:pPr>
  </w:style>
  <w:style w:type="character" w:customStyle="1" w:styleId="FormuladichiusuraCarattere">
    <w:name w:val="Formula di chiusura Carattere"/>
    <w:basedOn w:val="Carpredefinitoparagrafo"/>
    <w:link w:val="Formuladichiusura"/>
    <w:uiPriority w:val="99"/>
    <w:semiHidden/>
    <w:rsid w:val="0098410D"/>
    <w:rPr>
      <w:rFonts w:eastAsiaTheme="minorEastAsia"/>
      <w:sz w:val="24"/>
    </w:rPr>
  </w:style>
  <w:style w:type="table" w:styleId="Grigliaacolori">
    <w:name w:val="Colorful Grid"/>
    <w:basedOn w:val="Tabellanormale"/>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rsid w:val="0098410D"/>
    <w:rPr>
      <w:sz w:val="16"/>
      <w:szCs w:val="16"/>
    </w:rPr>
  </w:style>
  <w:style w:type="paragraph" w:styleId="Testocommento">
    <w:name w:val="annotation text"/>
    <w:basedOn w:val="Normale"/>
    <w:link w:val="TestocommentoCarattere"/>
    <w:semiHidden/>
    <w:rsid w:val="0098410D"/>
    <w:rPr>
      <w:sz w:val="20"/>
      <w:szCs w:val="20"/>
    </w:rPr>
  </w:style>
  <w:style w:type="character" w:customStyle="1" w:styleId="TestocommentoCarattere">
    <w:name w:val="Testo commento Carattere"/>
    <w:basedOn w:val="Carpredefinitoparagrafo"/>
    <w:link w:val="Testocommento"/>
    <w:uiPriority w:val="99"/>
    <w:semiHidden/>
    <w:rsid w:val="0098410D"/>
    <w:rPr>
      <w:rFonts w:eastAsiaTheme="minorEastAsia"/>
      <w:sz w:val="20"/>
      <w:szCs w:val="20"/>
    </w:rPr>
  </w:style>
  <w:style w:type="paragraph" w:styleId="Soggettocommento">
    <w:name w:val="annotation subject"/>
    <w:basedOn w:val="Testocommento"/>
    <w:next w:val="Testocommento"/>
    <w:link w:val="SoggettocommentoCarattere"/>
    <w:uiPriority w:val="99"/>
    <w:semiHidden/>
    <w:rsid w:val="0098410D"/>
    <w:rPr>
      <w:b/>
      <w:bCs/>
    </w:rPr>
  </w:style>
  <w:style w:type="character" w:customStyle="1" w:styleId="SoggettocommentoCarattere">
    <w:name w:val="Soggetto commento Carattere"/>
    <w:basedOn w:val="TestocommentoCarattere"/>
    <w:link w:val="Soggettocommento"/>
    <w:uiPriority w:val="99"/>
    <w:semiHidden/>
    <w:rsid w:val="0098410D"/>
    <w:rPr>
      <w:rFonts w:eastAsiaTheme="minorEastAsia"/>
      <w:b/>
      <w:bCs/>
      <w:sz w:val="20"/>
      <w:szCs w:val="20"/>
    </w:rPr>
  </w:style>
  <w:style w:type="table" w:styleId="Elencoscuro">
    <w:name w:val="Dark List"/>
    <w:basedOn w:val="Tabellanormale"/>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8410D"/>
  </w:style>
  <w:style w:type="character" w:customStyle="1" w:styleId="DataCarattere">
    <w:name w:val="Data Carattere"/>
    <w:basedOn w:val="Carpredefinitoparagrafo"/>
    <w:link w:val="Data"/>
    <w:uiPriority w:val="99"/>
    <w:semiHidden/>
    <w:rsid w:val="0098410D"/>
    <w:rPr>
      <w:rFonts w:eastAsiaTheme="minorEastAsia"/>
      <w:sz w:val="24"/>
    </w:rPr>
  </w:style>
  <w:style w:type="paragraph" w:styleId="Mappadocumento">
    <w:name w:val="Document Map"/>
    <w:basedOn w:val="Normale"/>
    <w:link w:val="MappadocumentoCarattere"/>
    <w:uiPriority w:val="99"/>
    <w:semiHidden/>
    <w:rsid w:val="0098410D"/>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8410D"/>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98410D"/>
  </w:style>
  <w:style w:type="character" w:customStyle="1" w:styleId="FirmadipostaelettronicaCarattere">
    <w:name w:val="Firma di posta elettronica Carattere"/>
    <w:basedOn w:val="Carpredefinitoparagrafo"/>
    <w:link w:val="Firmadipostaelettronica"/>
    <w:uiPriority w:val="99"/>
    <w:semiHidden/>
    <w:rsid w:val="0098410D"/>
    <w:rPr>
      <w:rFonts w:eastAsiaTheme="minorEastAsia"/>
      <w:sz w:val="24"/>
    </w:rPr>
  </w:style>
  <w:style w:type="character" w:styleId="Rimandonotadichiusura">
    <w:name w:val="endnote reference"/>
    <w:basedOn w:val="Carpredefinitoparagrafo"/>
    <w:uiPriority w:val="99"/>
    <w:semiHidden/>
    <w:rsid w:val="00F8223C"/>
    <w:rPr>
      <w:vertAlign w:val="superscript"/>
    </w:rPr>
  </w:style>
  <w:style w:type="paragraph" w:styleId="Testonotadichiusura">
    <w:name w:val="endnote text"/>
    <w:basedOn w:val="Normale"/>
    <w:link w:val="TestonotadichiusuraCarattere"/>
    <w:uiPriority w:val="99"/>
    <w:semiHidden/>
    <w:rsid w:val="00F8223C"/>
    <w:rPr>
      <w:sz w:val="20"/>
      <w:szCs w:val="20"/>
    </w:rPr>
  </w:style>
  <w:style w:type="character" w:customStyle="1" w:styleId="TestonotadichiusuraCarattere">
    <w:name w:val="Testo nota di chiusura Carattere"/>
    <w:basedOn w:val="Carpredefinitoparagrafo"/>
    <w:link w:val="Testonotadichiusura"/>
    <w:uiPriority w:val="99"/>
    <w:semiHidden/>
    <w:rsid w:val="00F8223C"/>
    <w:rPr>
      <w:rFonts w:eastAsiaTheme="minorEastAsia"/>
      <w:sz w:val="20"/>
      <w:szCs w:val="20"/>
      <w:lang w:val="en-GB"/>
    </w:rPr>
  </w:style>
  <w:style w:type="paragraph" w:styleId="Indirizzodestinatario">
    <w:name w:val="envelope address"/>
    <w:basedOn w:val="Normale"/>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8410D"/>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8410D"/>
    <w:rPr>
      <w:color w:val="7030A0" w:themeColor="followedHyperlink"/>
      <w:u w:val="single"/>
    </w:rPr>
  </w:style>
  <w:style w:type="character" w:styleId="AcronimoHTML">
    <w:name w:val="HTML Acronym"/>
    <w:basedOn w:val="Carpredefinitoparagrafo"/>
    <w:uiPriority w:val="99"/>
    <w:semiHidden/>
    <w:rsid w:val="0098410D"/>
  </w:style>
  <w:style w:type="paragraph" w:styleId="IndirizzoHTML">
    <w:name w:val="HTML Address"/>
    <w:basedOn w:val="Normale"/>
    <w:link w:val="IndirizzoHTMLCarattere"/>
    <w:uiPriority w:val="99"/>
    <w:semiHidden/>
    <w:rsid w:val="0098410D"/>
    <w:rPr>
      <w:i/>
      <w:iCs/>
    </w:rPr>
  </w:style>
  <w:style w:type="character" w:customStyle="1" w:styleId="IndirizzoHTMLCarattere">
    <w:name w:val="Indirizzo HTML Carattere"/>
    <w:basedOn w:val="Carpredefinitoparagrafo"/>
    <w:link w:val="IndirizzoHTML"/>
    <w:uiPriority w:val="99"/>
    <w:semiHidden/>
    <w:rsid w:val="0098410D"/>
    <w:rPr>
      <w:rFonts w:eastAsiaTheme="minorEastAsia"/>
      <w:i/>
      <w:iCs/>
      <w:sz w:val="24"/>
    </w:rPr>
  </w:style>
  <w:style w:type="character" w:styleId="CitazioneHTML">
    <w:name w:val="HTML Cite"/>
    <w:basedOn w:val="Carpredefinitoparagrafo"/>
    <w:uiPriority w:val="99"/>
    <w:semiHidden/>
    <w:rsid w:val="0098410D"/>
    <w:rPr>
      <w:i/>
      <w:iCs/>
    </w:rPr>
  </w:style>
  <w:style w:type="character" w:styleId="CodiceHTML">
    <w:name w:val="HTML Code"/>
    <w:basedOn w:val="Carpredefinitoparagrafo"/>
    <w:uiPriority w:val="99"/>
    <w:semiHidden/>
    <w:rsid w:val="0098410D"/>
    <w:rPr>
      <w:rFonts w:ascii="Consolas" w:hAnsi="Consolas" w:cs="Consolas"/>
      <w:sz w:val="20"/>
      <w:szCs w:val="20"/>
    </w:rPr>
  </w:style>
  <w:style w:type="character" w:styleId="DefinizioneHTML">
    <w:name w:val="HTML Definition"/>
    <w:basedOn w:val="Carpredefinitoparagrafo"/>
    <w:uiPriority w:val="99"/>
    <w:semiHidden/>
    <w:rsid w:val="0098410D"/>
    <w:rPr>
      <w:i/>
      <w:iCs/>
    </w:rPr>
  </w:style>
  <w:style w:type="character" w:styleId="TastieraHTML">
    <w:name w:val="HTML Keyboard"/>
    <w:basedOn w:val="Carpredefinitoparagrafo"/>
    <w:uiPriority w:val="99"/>
    <w:semiHidden/>
    <w:rsid w:val="0098410D"/>
    <w:rPr>
      <w:rFonts w:ascii="Consolas" w:hAnsi="Consolas" w:cs="Consolas"/>
      <w:sz w:val="20"/>
      <w:szCs w:val="20"/>
    </w:rPr>
  </w:style>
  <w:style w:type="paragraph" w:styleId="PreformattatoHTML">
    <w:name w:val="HTML Preformatted"/>
    <w:basedOn w:val="Normale"/>
    <w:link w:val="PreformattatoHTMLCarattere"/>
    <w:uiPriority w:val="99"/>
    <w:semiHidden/>
    <w:rsid w:val="0098410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8410D"/>
    <w:rPr>
      <w:rFonts w:ascii="Consolas" w:eastAsiaTheme="minorEastAsia" w:hAnsi="Consolas" w:cs="Consolas"/>
      <w:sz w:val="20"/>
      <w:szCs w:val="20"/>
    </w:rPr>
  </w:style>
  <w:style w:type="character" w:styleId="EsempioHTML">
    <w:name w:val="HTML Sample"/>
    <w:basedOn w:val="Carpredefinitoparagrafo"/>
    <w:uiPriority w:val="99"/>
    <w:semiHidden/>
    <w:rsid w:val="0098410D"/>
    <w:rPr>
      <w:rFonts w:ascii="Consolas" w:hAnsi="Consolas" w:cs="Consolas"/>
      <w:sz w:val="24"/>
      <w:szCs w:val="24"/>
    </w:rPr>
  </w:style>
  <w:style w:type="character" w:styleId="MacchinadascrivereHTML">
    <w:name w:val="HTML Typewriter"/>
    <w:basedOn w:val="Carpredefinitoparagrafo"/>
    <w:uiPriority w:val="99"/>
    <w:semiHidden/>
    <w:rsid w:val="0098410D"/>
    <w:rPr>
      <w:rFonts w:ascii="Consolas" w:hAnsi="Consolas" w:cs="Consolas"/>
      <w:sz w:val="20"/>
      <w:szCs w:val="20"/>
    </w:rPr>
  </w:style>
  <w:style w:type="character" w:styleId="VariabileHTML">
    <w:name w:val="HTML Variable"/>
    <w:basedOn w:val="Carpredefinitoparagrafo"/>
    <w:uiPriority w:val="99"/>
    <w:semiHidden/>
    <w:rsid w:val="0098410D"/>
    <w:rPr>
      <w:i/>
      <w:iCs/>
    </w:rPr>
  </w:style>
  <w:style w:type="paragraph" w:styleId="Indice1">
    <w:name w:val="index 1"/>
    <w:basedOn w:val="Normale"/>
    <w:next w:val="Normale"/>
    <w:autoRedefine/>
    <w:uiPriority w:val="99"/>
    <w:semiHidden/>
    <w:rsid w:val="0098410D"/>
    <w:pPr>
      <w:ind w:left="240" w:hanging="240"/>
    </w:pPr>
  </w:style>
  <w:style w:type="paragraph" w:styleId="Indice2">
    <w:name w:val="index 2"/>
    <w:basedOn w:val="Normale"/>
    <w:next w:val="Normale"/>
    <w:autoRedefine/>
    <w:uiPriority w:val="99"/>
    <w:semiHidden/>
    <w:rsid w:val="0098410D"/>
    <w:pPr>
      <w:ind w:left="480" w:hanging="240"/>
    </w:pPr>
  </w:style>
  <w:style w:type="paragraph" w:styleId="Indice3">
    <w:name w:val="index 3"/>
    <w:basedOn w:val="Normale"/>
    <w:next w:val="Normale"/>
    <w:autoRedefine/>
    <w:uiPriority w:val="99"/>
    <w:semiHidden/>
    <w:rsid w:val="0098410D"/>
    <w:pPr>
      <w:ind w:left="720" w:hanging="240"/>
    </w:pPr>
  </w:style>
  <w:style w:type="paragraph" w:styleId="Indice4">
    <w:name w:val="index 4"/>
    <w:basedOn w:val="Normale"/>
    <w:next w:val="Normale"/>
    <w:autoRedefine/>
    <w:uiPriority w:val="99"/>
    <w:semiHidden/>
    <w:rsid w:val="0098410D"/>
    <w:pPr>
      <w:ind w:left="960" w:hanging="240"/>
    </w:pPr>
  </w:style>
  <w:style w:type="paragraph" w:styleId="Indice5">
    <w:name w:val="index 5"/>
    <w:basedOn w:val="Normale"/>
    <w:next w:val="Normale"/>
    <w:autoRedefine/>
    <w:uiPriority w:val="99"/>
    <w:semiHidden/>
    <w:rsid w:val="0098410D"/>
    <w:pPr>
      <w:ind w:left="1200" w:hanging="240"/>
    </w:pPr>
  </w:style>
  <w:style w:type="paragraph" w:styleId="Indice6">
    <w:name w:val="index 6"/>
    <w:basedOn w:val="Normale"/>
    <w:next w:val="Normale"/>
    <w:autoRedefine/>
    <w:uiPriority w:val="99"/>
    <w:semiHidden/>
    <w:rsid w:val="0098410D"/>
    <w:pPr>
      <w:ind w:left="1440" w:hanging="240"/>
    </w:pPr>
  </w:style>
  <w:style w:type="paragraph" w:styleId="Indice7">
    <w:name w:val="index 7"/>
    <w:basedOn w:val="Normale"/>
    <w:next w:val="Normale"/>
    <w:autoRedefine/>
    <w:uiPriority w:val="99"/>
    <w:semiHidden/>
    <w:rsid w:val="0098410D"/>
    <w:pPr>
      <w:ind w:left="1680" w:hanging="240"/>
    </w:pPr>
  </w:style>
  <w:style w:type="paragraph" w:styleId="Indice8">
    <w:name w:val="index 8"/>
    <w:basedOn w:val="Normale"/>
    <w:next w:val="Normale"/>
    <w:autoRedefine/>
    <w:uiPriority w:val="99"/>
    <w:semiHidden/>
    <w:rsid w:val="0098410D"/>
    <w:pPr>
      <w:ind w:left="1920" w:hanging="240"/>
    </w:pPr>
  </w:style>
  <w:style w:type="paragraph" w:styleId="Indice9">
    <w:name w:val="index 9"/>
    <w:basedOn w:val="Normale"/>
    <w:next w:val="Normale"/>
    <w:autoRedefine/>
    <w:uiPriority w:val="99"/>
    <w:semiHidden/>
    <w:rsid w:val="0098410D"/>
    <w:pPr>
      <w:ind w:left="2160" w:hanging="240"/>
    </w:pPr>
  </w:style>
  <w:style w:type="paragraph" w:styleId="Titoloindice">
    <w:name w:val="index heading"/>
    <w:basedOn w:val="Normale"/>
    <w:next w:val="Indice1"/>
    <w:uiPriority w:val="99"/>
    <w:semiHidden/>
    <w:rsid w:val="0098410D"/>
    <w:rPr>
      <w:rFonts w:asciiTheme="majorHAnsi" w:eastAsiaTheme="majorEastAsia" w:hAnsiTheme="majorHAnsi" w:cstheme="majorBidi"/>
      <w:b/>
      <w:bCs/>
    </w:rPr>
  </w:style>
  <w:style w:type="table" w:styleId="Grigliachiara">
    <w:name w:val="Light Grid"/>
    <w:basedOn w:val="Tabellanormale"/>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8410D"/>
  </w:style>
  <w:style w:type="paragraph" w:styleId="Elenco">
    <w:name w:val="List"/>
    <w:basedOn w:val="Normale"/>
    <w:uiPriority w:val="99"/>
    <w:semiHidden/>
    <w:rsid w:val="0098410D"/>
    <w:pPr>
      <w:ind w:left="283" w:hanging="283"/>
      <w:contextualSpacing/>
    </w:pPr>
  </w:style>
  <w:style w:type="paragraph" w:styleId="Elenco2">
    <w:name w:val="List 2"/>
    <w:basedOn w:val="Normale"/>
    <w:uiPriority w:val="99"/>
    <w:semiHidden/>
    <w:rsid w:val="0098410D"/>
    <w:pPr>
      <w:ind w:left="566" w:hanging="283"/>
      <w:contextualSpacing/>
    </w:pPr>
  </w:style>
  <w:style w:type="paragraph" w:styleId="Elenco3">
    <w:name w:val="List 3"/>
    <w:basedOn w:val="Normale"/>
    <w:uiPriority w:val="99"/>
    <w:semiHidden/>
    <w:rsid w:val="0098410D"/>
    <w:pPr>
      <w:ind w:left="849" w:hanging="283"/>
      <w:contextualSpacing/>
    </w:pPr>
  </w:style>
  <w:style w:type="paragraph" w:styleId="Elenco4">
    <w:name w:val="List 4"/>
    <w:basedOn w:val="Normale"/>
    <w:uiPriority w:val="99"/>
    <w:semiHidden/>
    <w:rsid w:val="0098410D"/>
    <w:pPr>
      <w:ind w:left="1132" w:hanging="283"/>
      <w:contextualSpacing/>
    </w:pPr>
  </w:style>
  <w:style w:type="paragraph" w:styleId="Elenco5">
    <w:name w:val="List 5"/>
    <w:basedOn w:val="Normale"/>
    <w:uiPriority w:val="99"/>
    <w:semiHidden/>
    <w:rsid w:val="0098410D"/>
    <w:pPr>
      <w:ind w:left="1415" w:hanging="283"/>
      <w:contextualSpacing/>
    </w:pPr>
  </w:style>
  <w:style w:type="paragraph" w:styleId="Puntoelenco2">
    <w:name w:val="List Bullet 2"/>
    <w:basedOn w:val="Normale"/>
    <w:uiPriority w:val="99"/>
    <w:semiHidden/>
    <w:rsid w:val="0098410D"/>
    <w:pPr>
      <w:numPr>
        <w:numId w:val="13"/>
      </w:numPr>
      <w:contextualSpacing/>
    </w:pPr>
  </w:style>
  <w:style w:type="paragraph" w:styleId="Puntoelenco4">
    <w:name w:val="List Bullet 4"/>
    <w:basedOn w:val="Normale"/>
    <w:uiPriority w:val="99"/>
    <w:semiHidden/>
    <w:rsid w:val="0098410D"/>
    <w:pPr>
      <w:numPr>
        <w:numId w:val="14"/>
      </w:numPr>
      <w:contextualSpacing/>
    </w:pPr>
  </w:style>
  <w:style w:type="paragraph" w:styleId="Puntoelenco5">
    <w:name w:val="List Bullet 5"/>
    <w:basedOn w:val="Normale"/>
    <w:uiPriority w:val="99"/>
    <w:semiHidden/>
    <w:rsid w:val="0098410D"/>
    <w:pPr>
      <w:numPr>
        <w:numId w:val="15"/>
      </w:numPr>
      <w:contextualSpacing/>
    </w:pPr>
  </w:style>
  <w:style w:type="paragraph" w:styleId="Elencocontinua">
    <w:name w:val="List Continue"/>
    <w:basedOn w:val="Normale"/>
    <w:uiPriority w:val="99"/>
    <w:semiHidden/>
    <w:rsid w:val="0098410D"/>
    <w:pPr>
      <w:spacing w:after="120"/>
      <w:ind w:left="283"/>
      <w:contextualSpacing/>
    </w:pPr>
  </w:style>
  <w:style w:type="paragraph" w:styleId="Elencocontinua2">
    <w:name w:val="List Continue 2"/>
    <w:basedOn w:val="Normale"/>
    <w:uiPriority w:val="99"/>
    <w:semiHidden/>
    <w:rsid w:val="0098410D"/>
    <w:pPr>
      <w:spacing w:after="120"/>
      <w:ind w:left="566"/>
      <w:contextualSpacing/>
    </w:pPr>
  </w:style>
  <w:style w:type="paragraph" w:styleId="Elencocontinua3">
    <w:name w:val="List Continue 3"/>
    <w:basedOn w:val="Normale"/>
    <w:uiPriority w:val="99"/>
    <w:semiHidden/>
    <w:rsid w:val="0098410D"/>
    <w:pPr>
      <w:spacing w:after="120"/>
      <w:ind w:left="849"/>
      <w:contextualSpacing/>
    </w:pPr>
  </w:style>
  <w:style w:type="paragraph" w:styleId="Elencocontinua4">
    <w:name w:val="List Continue 4"/>
    <w:basedOn w:val="Normale"/>
    <w:uiPriority w:val="99"/>
    <w:semiHidden/>
    <w:rsid w:val="0098410D"/>
    <w:pPr>
      <w:spacing w:after="120"/>
      <w:ind w:left="1132"/>
      <w:contextualSpacing/>
    </w:pPr>
  </w:style>
  <w:style w:type="paragraph" w:styleId="Elencocontinua5">
    <w:name w:val="List Continue 5"/>
    <w:basedOn w:val="Normale"/>
    <w:uiPriority w:val="99"/>
    <w:semiHidden/>
    <w:rsid w:val="0098410D"/>
    <w:pPr>
      <w:spacing w:after="120"/>
      <w:ind w:left="1415"/>
      <w:contextualSpacing/>
    </w:pPr>
  </w:style>
  <w:style w:type="paragraph" w:styleId="Numeroelenco">
    <w:name w:val="List Number"/>
    <w:basedOn w:val="Normale"/>
    <w:uiPriority w:val="99"/>
    <w:semiHidden/>
    <w:rsid w:val="0098410D"/>
    <w:pPr>
      <w:numPr>
        <w:numId w:val="16"/>
      </w:numPr>
      <w:contextualSpacing/>
    </w:pPr>
  </w:style>
  <w:style w:type="paragraph" w:styleId="Numeroelenco2">
    <w:name w:val="List Number 2"/>
    <w:basedOn w:val="Normale"/>
    <w:uiPriority w:val="99"/>
    <w:semiHidden/>
    <w:rsid w:val="0098410D"/>
    <w:pPr>
      <w:numPr>
        <w:numId w:val="17"/>
      </w:numPr>
      <w:contextualSpacing/>
    </w:pPr>
  </w:style>
  <w:style w:type="paragraph" w:styleId="Numeroelenco3">
    <w:name w:val="List Number 3"/>
    <w:basedOn w:val="Normale"/>
    <w:uiPriority w:val="99"/>
    <w:semiHidden/>
    <w:rsid w:val="0098410D"/>
    <w:pPr>
      <w:numPr>
        <w:numId w:val="18"/>
      </w:numPr>
      <w:contextualSpacing/>
    </w:pPr>
  </w:style>
  <w:style w:type="paragraph" w:styleId="Numeroelenco4">
    <w:name w:val="List Number 4"/>
    <w:basedOn w:val="Normale"/>
    <w:uiPriority w:val="99"/>
    <w:semiHidden/>
    <w:rsid w:val="0098410D"/>
    <w:pPr>
      <w:numPr>
        <w:numId w:val="19"/>
      </w:numPr>
      <w:contextualSpacing/>
    </w:pPr>
  </w:style>
  <w:style w:type="paragraph" w:styleId="Numeroelenco5">
    <w:name w:val="List Number 5"/>
    <w:basedOn w:val="Normale"/>
    <w:uiPriority w:val="99"/>
    <w:semiHidden/>
    <w:rsid w:val="0098410D"/>
    <w:pPr>
      <w:numPr>
        <w:numId w:val="20"/>
      </w:numPr>
      <w:contextualSpacing/>
    </w:pPr>
  </w:style>
  <w:style w:type="paragraph" w:styleId="Testomacro">
    <w:name w:val="macro"/>
    <w:link w:val="TestomacroCarattere"/>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8410D"/>
    <w:rPr>
      <w:rFonts w:ascii="Consolas" w:eastAsiaTheme="minorEastAsia" w:hAnsi="Consolas" w:cs="Consolas"/>
      <w:sz w:val="20"/>
      <w:szCs w:val="20"/>
    </w:rPr>
  </w:style>
  <w:style w:type="table" w:styleId="Grigliamedia1">
    <w:name w:val="Medium Grid 1"/>
    <w:basedOn w:val="Tabellanormale"/>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8410D"/>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98410D"/>
    <w:rPr>
      <w:rFonts w:ascii="Times New Roman" w:hAnsi="Times New Roman" w:cs="Times New Roman"/>
      <w:szCs w:val="24"/>
    </w:rPr>
  </w:style>
  <w:style w:type="paragraph" w:styleId="Rientronormale">
    <w:name w:val="Normal Indent"/>
    <w:basedOn w:val="Normale"/>
    <w:uiPriority w:val="99"/>
    <w:semiHidden/>
    <w:rsid w:val="0098410D"/>
    <w:pPr>
      <w:ind w:left="720"/>
    </w:pPr>
  </w:style>
  <w:style w:type="character" w:styleId="Testosegnaposto">
    <w:name w:val="Placeholder Text"/>
    <w:basedOn w:val="Carpredefinitoparagrafo"/>
    <w:uiPriority w:val="99"/>
    <w:semiHidden/>
    <w:rsid w:val="00F8223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8410D"/>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8410D"/>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98410D"/>
  </w:style>
  <w:style w:type="character" w:customStyle="1" w:styleId="FormuladiaperturaCarattere">
    <w:name w:val="Formula di apertura Carattere"/>
    <w:basedOn w:val="Carpredefinitoparagrafo"/>
    <w:link w:val="Formuladiapertura"/>
    <w:uiPriority w:val="99"/>
    <w:semiHidden/>
    <w:rsid w:val="0098410D"/>
    <w:rPr>
      <w:rFonts w:eastAsiaTheme="minorEastAsia"/>
      <w:sz w:val="24"/>
    </w:rPr>
  </w:style>
  <w:style w:type="paragraph" w:styleId="Firma">
    <w:name w:val="Signature"/>
    <w:basedOn w:val="Normale"/>
    <w:link w:val="FirmaCarattere"/>
    <w:uiPriority w:val="99"/>
    <w:semiHidden/>
    <w:rsid w:val="0098410D"/>
    <w:pPr>
      <w:ind w:left="4252"/>
    </w:pPr>
  </w:style>
  <w:style w:type="character" w:customStyle="1" w:styleId="FirmaCarattere">
    <w:name w:val="Firma Carattere"/>
    <w:basedOn w:val="Carpredefinitoparagrafo"/>
    <w:link w:val="Firma"/>
    <w:uiPriority w:val="99"/>
    <w:semiHidden/>
    <w:rsid w:val="0098410D"/>
    <w:rPr>
      <w:rFonts w:eastAsiaTheme="minorEastAsia"/>
      <w:sz w:val="24"/>
    </w:rPr>
  </w:style>
  <w:style w:type="table" w:styleId="Tabellaeffetti3D1">
    <w:name w:val="Table 3D effects 1"/>
    <w:basedOn w:val="Tabellanormale"/>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8410D"/>
    <w:pPr>
      <w:ind w:left="240" w:hanging="240"/>
    </w:pPr>
  </w:style>
  <w:style w:type="paragraph" w:styleId="Indicedellefigure">
    <w:name w:val="table of figures"/>
    <w:basedOn w:val="Normale"/>
    <w:next w:val="Normale"/>
    <w:uiPriority w:val="99"/>
    <w:semiHidden/>
    <w:rsid w:val="0098410D"/>
  </w:style>
  <w:style w:type="table" w:styleId="Tabellaprofessionale">
    <w:name w:val="Table Professional"/>
    <w:basedOn w:val="Tabellanormale"/>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F8223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F8223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8410D"/>
    <w:pPr>
      <w:spacing w:after="100"/>
      <w:ind w:left="1680"/>
    </w:pPr>
  </w:style>
  <w:style w:type="paragraph" w:styleId="Sommario9">
    <w:name w:val="toc 9"/>
    <w:basedOn w:val="Normale"/>
    <w:next w:val="Normale"/>
    <w:autoRedefine/>
    <w:uiPriority w:val="99"/>
    <w:semiHidden/>
    <w:rsid w:val="0098410D"/>
    <w:pPr>
      <w:spacing w:after="100"/>
      <w:ind w:left="1920"/>
    </w:pPr>
  </w:style>
  <w:style w:type="paragraph" w:customStyle="1" w:styleId="DecHTitle">
    <w:name w:val="Dec_H_Title"/>
    <w:basedOn w:val="ECHRTitleCentre1"/>
    <w:uiPriority w:val="7"/>
    <w:qFormat/>
    <w:rsid w:val="00F8223C"/>
  </w:style>
  <w:style w:type="paragraph" w:customStyle="1" w:styleId="DecList">
    <w:name w:val="Dec_List"/>
    <w:basedOn w:val="Normale"/>
    <w:uiPriority w:val="9"/>
    <w:qFormat/>
    <w:rsid w:val="00F8223C"/>
    <w:pPr>
      <w:spacing w:before="240"/>
      <w:ind w:left="284"/>
    </w:pPr>
  </w:style>
  <w:style w:type="paragraph" w:customStyle="1" w:styleId="ECHRFooter">
    <w:name w:val="ECHR_Footer"/>
    <w:aliases w:val="Footer_ECHR"/>
    <w:basedOn w:val="Pidipagina"/>
    <w:uiPriority w:val="57"/>
    <w:semiHidden/>
    <w:rsid w:val="00F8223C"/>
    <w:pPr>
      <w:jc w:val="left"/>
    </w:pPr>
    <w:rPr>
      <w:sz w:val="8"/>
    </w:rPr>
  </w:style>
  <w:style w:type="paragraph" w:customStyle="1" w:styleId="ECHRFooterLine">
    <w:name w:val="ECHR_Footer_Line"/>
    <w:aliases w:val="Footer_Line"/>
    <w:basedOn w:val="Normale"/>
    <w:next w:val="ECHRFooter"/>
    <w:uiPriority w:val="57"/>
    <w:semiHidden/>
    <w:rsid w:val="00F8223C"/>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e"/>
    <w:next w:val="ECHRPara"/>
    <w:uiPriority w:val="8"/>
    <w:qFormat/>
    <w:rsid w:val="00F8223C"/>
    <w:pPr>
      <w:spacing w:after="240"/>
      <w:jc w:val="center"/>
      <w:outlineLvl w:val="0"/>
    </w:pPr>
    <w:rPr>
      <w:rFonts w:asciiTheme="majorHAnsi" w:hAnsiTheme="majorHAnsi"/>
    </w:rPr>
  </w:style>
  <w:style w:type="paragraph" w:customStyle="1" w:styleId="JuAppQuestion">
    <w:name w:val="Ju_App_Question"/>
    <w:basedOn w:val="Normale"/>
    <w:uiPriority w:val="5"/>
    <w:qFormat/>
    <w:rsid w:val="00F8223C"/>
    <w:pPr>
      <w:numPr>
        <w:numId w:val="28"/>
      </w:numPr>
      <w:jc w:val="left"/>
    </w:pPr>
    <w:rPr>
      <w:b/>
    </w:rPr>
  </w:style>
  <w:style w:type="paragraph" w:customStyle="1" w:styleId="JuHeaderLandscape">
    <w:name w:val="Ju_Header_Landscape"/>
    <w:basedOn w:val="ECHRHeader"/>
    <w:uiPriority w:val="4"/>
    <w:qFormat/>
    <w:rsid w:val="00F8223C"/>
    <w:pPr>
      <w:tabs>
        <w:tab w:val="clear" w:pos="3686"/>
        <w:tab w:val="clear" w:pos="7371"/>
        <w:tab w:val="center" w:pos="6146"/>
        <w:tab w:val="right" w:pos="12293"/>
      </w:tabs>
    </w:pPr>
  </w:style>
  <w:style w:type="paragraph" w:customStyle="1" w:styleId="JuTitle">
    <w:name w:val="Ju_Title"/>
    <w:basedOn w:val="Normale"/>
    <w:next w:val="ECHRPara"/>
    <w:uiPriority w:val="3"/>
    <w:qFormat/>
    <w:rsid w:val="00F8223C"/>
    <w:pPr>
      <w:spacing w:before="720" w:after="240"/>
      <w:jc w:val="center"/>
      <w:outlineLvl w:val="0"/>
    </w:pPr>
    <w:rPr>
      <w:rFonts w:asciiTheme="majorHAnsi" w:hAnsiTheme="majorHAnsi"/>
      <w:b/>
      <w:caps/>
    </w:rPr>
  </w:style>
  <w:style w:type="character" w:customStyle="1" w:styleId="JuNames0">
    <w:name w:val="Ju_Names"/>
    <w:rsid w:val="009C7C1B"/>
    <w:rPr>
      <w:rFonts w:ascii="Times New Roman" w:hAnsi="Times New Roman" w:cs="Times New Roman"/>
      <w:smallCaps/>
    </w:rPr>
  </w:style>
  <w:style w:type="paragraph" w:styleId="Intestazionenota">
    <w:name w:val="Note Heading"/>
    <w:basedOn w:val="Normale"/>
    <w:next w:val="Normale"/>
    <w:uiPriority w:val="99"/>
    <w:semiHidden/>
    <w:rsid w:val="009C7C1B"/>
  </w:style>
  <w:style w:type="paragraph" w:customStyle="1" w:styleId="ECHRSpacer">
    <w:name w:val="ECHR_Spacer"/>
    <w:basedOn w:val="Normale"/>
    <w:uiPriority w:val="45"/>
    <w:rsid w:val="009C7C1B"/>
    <w:pPr>
      <w:jc w:val="left"/>
    </w:pPr>
    <w:rPr>
      <w:rFonts w:eastAsiaTheme="minorHAnsi"/>
      <w:sz w:val="4"/>
    </w:rPr>
  </w:style>
  <w:style w:type="character" w:customStyle="1" w:styleId="ECHRParaChar">
    <w:name w:val="ECHR_Para Char"/>
    <w:aliases w:val="Ju_Para Char"/>
    <w:link w:val="ECHRPara"/>
    <w:uiPriority w:val="12"/>
    <w:rsid w:val="009C7C1B"/>
    <w:rPr>
      <w:rFonts w:eastAsiaTheme="minorEastAsia"/>
      <w:sz w:val="24"/>
      <w:lang w:val="en-GB"/>
    </w:rPr>
  </w:style>
  <w:style w:type="paragraph" w:styleId="Revisione">
    <w:name w:val="Revision"/>
    <w:hidden/>
    <w:uiPriority w:val="99"/>
    <w:semiHidden/>
    <w:rsid w:val="009C7C1B"/>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E9504-B460-4877-BE51-39E8653F3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105D6E-514F-47BA-9BD6-39D9B38C3629}">
  <ds:schemaRefs>
    <ds:schemaRef ds:uri="http://schemas.microsoft.com/sharepoint/v3/contenttype/forms"/>
  </ds:schemaRefs>
</ds:datastoreItem>
</file>

<file path=customXml/itemProps3.xml><?xml version="1.0" encoding="utf-8"?>
<ds:datastoreItem xmlns:ds="http://schemas.openxmlformats.org/officeDocument/2006/customXml" ds:itemID="{6DB2F88C-486D-4FC9-935B-7CA86A8F5B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A414E9C-CD7C-49CF-A682-2D3E0E74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9026</Words>
  <Characters>51454</Characters>
  <Application>Microsoft Office Word</Application>
  <DocSecurity>0</DocSecurity>
  <Lines>428</Lines>
  <Paragraphs>120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2020-04-14T14:16:00Z</dcterms:created>
  <dcterms:modified xsi:type="dcterms:W3CDTF">2020-04-14T14:16:00Z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59347/11</vt:lpwstr>
  </property>
  <property fmtid="{D5CDD505-2E9C-101B-9397-08002B2CF9AE}" pid="4" name="CASEID">
    <vt:lpwstr>748859</vt:lpwstr>
  </property>
  <property fmtid="{D5CDD505-2E9C-101B-9397-08002B2CF9AE}" pid="5" name="ContentTypeId">
    <vt:lpwstr>0x010100558EB02BDB9E204AB350EDD385B68E10</vt:lpwstr>
  </property>
</Properties>
</file>